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75A023">
      <w:pPr>
        <w:jc w:val="both"/>
        <w:rPr>
          <w:rFonts w:hint="eastAsia" w:ascii="宋体" w:hAnsi="宋体" w:eastAsia="宋体" w:cs="宋体"/>
          <w:b/>
          <w:bCs/>
          <w:color w:val="000000" w:themeColor="text1"/>
          <w:sz w:val="44"/>
          <w:szCs w:val="44"/>
          <w:highlight w:val="none"/>
          <w:lang w:val="en-US" w:eastAsia="zh-CN"/>
          <w14:textFill>
            <w14:solidFill>
              <w14:schemeClr w14:val="tx1"/>
            </w14:solidFill>
          </w14:textFill>
        </w:rPr>
      </w:pPr>
      <w:bookmarkStart w:id="0" w:name="_Toc144974478"/>
      <w:bookmarkStart w:id="1" w:name="_Toc152042286"/>
      <w:bookmarkStart w:id="2" w:name="_Toc179632527"/>
      <w:bookmarkStart w:id="3" w:name="_Toc246996157"/>
      <w:bookmarkStart w:id="4" w:name="_Toc247096243"/>
      <w:bookmarkStart w:id="5" w:name="_Toc144974479"/>
      <w:bookmarkStart w:id="6" w:name="_Toc28817"/>
      <w:bookmarkStart w:id="7" w:name="_Toc247085671"/>
      <w:bookmarkStart w:id="8" w:name="_Toc27850"/>
      <w:bookmarkStart w:id="9" w:name="_Toc246996900"/>
      <w:bookmarkStart w:id="10" w:name="_Toc152042287"/>
      <w:bookmarkStart w:id="11" w:name="_Toc152045511"/>
      <w:bookmarkStart w:id="890" w:name="_GoBack"/>
      <w:bookmarkEnd w:id="890"/>
      <w:r>
        <w:rPr>
          <w:rFonts w:hint="eastAsia" w:ascii="宋体" w:hAnsi="宋体" w:eastAsia="宋体" w:cs="宋体"/>
          <w:b/>
          <w:bCs/>
          <w:color w:val="000000" w:themeColor="text1"/>
          <w:sz w:val="44"/>
          <w:szCs w:val="44"/>
          <w:highlight w:val="none"/>
          <w:lang w:val="en-US" w:eastAsia="zh-CN"/>
          <w14:textFill>
            <w14:solidFill>
              <w14:schemeClr w14:val="tx1"/>
            </w14:solidFill>
          </w14:textFill>
        </w:rPr>
        <w:drawing>
          <wp:inline distT="0" distB="0" distL="114300" distR="114300">
            <wp:extent cx="5949950" cy="8883015"/>
            <wp:effectExtent l="0" t="0" r="12700" b="13335"/>
            <wp:docPr id="1" name="图片 1" descr="微信图片_20260709192744_16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60709192744_16_17"/>
                    <pic:cNvPicPr>
                      <a:picLocks noChangeAspect="1"/>
                    </pic:cNvPicPr>
                  </pic:nvPicPr>
                  <pic:blipFill>
                    <a:blip r:embed="rId9"/>
                    <a:stretch>
                      <a:fillRect/>
                    </a:stretch>
                  </pic:blipFill>
                  <pic:spPr>
                    <a:xfrm>
                      <a:off x="0" y="0"/>
                      <a:ext cx="5949950" cy="8883015"/>
                    </a:xfrm>
                    <a:prstGeom prst="rect">
                      <a:avLst/>
                    </a:prstGeom>
                  </pic:spPr>
                </pic:pic>
              </a:graphicData>
            </a:graphic>
          </wp:inline>
        </w:drawing>
      </w:r>
    </w:p>
    <w:p w14:paraId="4C49AD05">
      <w:pPr>
        <w:bidi w:val="0"/>
        <w:rPr>
          <w:rFonts w:hint="eastAsia" w:ascii="宋体" w:hAnsi="宋体" w:eastAsia="宋体" w:cs="宋体"/>
          <w:color w:val="000000" w:themeColor="text1"/>
          <w:highlight w:val="none"/>
          <w:lang w:val="en-US" w:eastAsia="zh-CN"/>
          <w14:textFill>
            <w14:solidFill>
              <w14:schemeClr w14:val="tx1"/>
            </w14:solidFill>
          </w14:textFill>
        </w:rPr>
      </w:pPr>
    </w:p>
    <w:p w14:paraId="25F56296">
      <w:pPr>
        <w:pStyle w:val="3"/>
        <w:bidi w:val="0"/>
        <w:rPr>
          <w:rFonts w:hint="eastAsia"/>
          <w:color w:val="000000" w:themeColor="text1"/>
          <w:sz w:val="52"/>
          <w:szCs w:val="52"/>
          <w:highlight w:val="none"/>
          <w:lang w:eastAsia="zh-CN"/>
          <w14:textFill>
            <w14:solidFill>
              <w14:schemeClr w14:val="tx1"/>
            </w14:solidFill>
          </w14:textFill>
        </w:rPr>
      </w:pPr>
      <w:bookmarkStart w:id="12" w:name="_Toc325"/>
      <w:r>
        <w:rPr>
          <w:rFonts w:hint="eastAsia"/>
          <w:color w:val="000000" w:themeColor="text1"/>
          <w:sz w:val="52"/>
          <w:szCs w:val="52"/>
          <w:highlight w:val="none"/>
          <w:lang w:eastAsia="zh-CN"/>
          <w14:textFill>
            <w14:solidFill>
              <w14:schemeClr w14:val="tx1"/>
            </w14:solidFill>
          </w14:textFill>
        </w:rPr>
        <w:t>叶县辛店镇人民政府叶县2026年辛店镇省、市派第一书记联村共建养殖场基地设备提升项目</w:t>
      </w:r>
      <w:bookmarkEnd w:id="12"/>
      <w:r>
        <w:rPr>
          <w:rFonts w:hint="eastAsia"/>
          <w:color w:val="000000" w:themeColor="text1"/>
          <w:sz w:val="52"/>
          <w:szCs w:val="52"/>
          <w:highlight w:val="none"/>
          <w:lang w:eastAsia="zh-CN"/>
          <w14:textFill>
            <w14:solidFill>
              <w14:schemeClr w14:val="tx1"/>
            </w14:solidFill>
          </w14:textFill>
        </w:rPr>
        <w:tab/>
      </w:r>
    </w:p>
    <w:p w14:paraId="07E7C34B">
      <w:pPr>
        <w:pStyle w:val="10"/>
        <w:jc w:val="center"/>
        <w:rPr>
          <w:rFonts w:hint="eastAsia" w:ascii="宋体" w:hAnsi="宋体" w:eastAsia="宋体" w:cs="宋体"/>
          <w:b/>
          <w:color w:val="000000" w:themeColor="text1"/>
          <w:sz w:val="72"/>
          <w:szCs w:val="20"/>
          <w:highlight w:val="none"/>
          <w:lang w:eastAsia="zh-CN"/>
          <w14:textFill>
            <w14:solidFill>
              <w14:schemeClr w14:val="tx1"/>
            </w14:solidFill>
          </w14:textFill>
        </w:rPr>
      </w:pPr>
    </w:p>
    <w:p w14:paraId="55412E0A">
      <w:pPr>
        <w:pStyle w:val="9"/>
        <w:rPr>
          <w:rFonts w:hint="eastAsia" w:ascii="宋体" w:hAnsi="宋体" w:eastAsia="宋体" w:cs="宋体"/>
          <w:color w:val="000000" w:themeColor="text1"/>
          <w:highlight w:val="none"/>
          <w:lang w:eastAsia="zh-CN"/>
          <w14:textFill>
            <w14:solidFill>
              <w14:schemeClr w14:val="tx1"/>
            </w14:solidFill>
          </w14:textFill>
        </w:rPr>
      </w:pPr>
    </w:p>
    <w:p w14:paraId="08A4443A">
      <w:pPr>
        <w:rPr>
          <w:rFonts w:hint="eastAsia" w:ascii="宋体" w:hAnsi="宋体" w:eastAsia="宋体" w:cs="宋体"/>
          <w:color w:val="000000" w:themeColor="text1"/>
          <w:highlight w:val="none"/>
          <w:lang w:eastAsia="zh-CN"/>
          <w14:textFill>
            <w14:solidFill>
              <w14:schemeClr w14:val="tx1"/>
            </w14:solidFill>
          </w14:textFill>
        </w:rPr>
      </w:pPr>
    </w:p>
    <w:p w14:paraId="531C9854">
      <w:pPr>
        <w:pStyle w:val="17"/>
        <w:rPr>
          <w:rFonts w:hint="eastAsia" w:ascii="宋体" w:hAnsi="宋体" w:eastAsia="宋体" w:cs="宋体"/>
          <w:color w:val="000000" w:themeColor="text1"/>
          <w:highlight w:val="none"/>
          <w:lang w:eastAsia="zh-CN"/>
          <w14:textFill>
            <w14:solidFill>
              <w14:schemeClr w14:val="tx1"/>
            </w14:solidFill>
          </w14:textFill>
        </w:rPr>
      </w:pPr>
    </w:p>
    <w:p w14:paraId="2B6E11B6">
      <w:pPr>
        <w:rPr>
          <w:rFonts w:hint="eastAsia" w:ascii="宋体" w:hAnsi="宋体" w:eastAsia="宋体" w:cs="宋体"/>
          <w:color w:val="000000" w:themeColor="text1"/>
          <w:highlight w:val="none"/>
          <w:lang w:eastAsia="zh-CN"/>
          <w14:textFill>
            <w14:solidFill>
              <w14:schemeClr w14:val="tx1"/>
            </w14:solidFill>
          </w14:textFill>
        </w:rPr>
      </w:pPr>
    </w:p>
    <w:p w14:paraId="3B679907">
      <w:pPr>
        <w:pStyle w:val="17"/>
        <w:rPr>
          <w:rFonts w:hint="eastAsia" w:ascii="宋体" w:hAnsi="宋体" w:eastAsia="宋体" w:cs="宋体"/>
          <w:color w:val="000000" w:themeColor="text1"/>
          <w:highlight w:val="none"/>
          <w:lang w:eastAsia="zh-CN"/>
          <w14:textFill>
            <w14:solidFill>
              <w14:schemeClr w14:val="tx1"/>
            </w14:solidFill>
          </w14:textFill>
        </w:rPr>
      </w:pPr>
    </w:p>
    <w:p w14:paraId="72192B66">
      <w:pPr>
        <w:rPr>
          <w:rFonts w:hint="eastAsia" w:ascii="宋体" w:hAnsi="宋体" w:eastAsia="宋体" w:cs="宋体"/>
          <w:color w:val="000000" w:themeColor="text1"/>
          <w:highlight w:val="none"/>
          <w:lang w:eastAsia="zh-CN"/>
          <w14:textFill>
            <w14:solidFill>
              <w14:schemeClr w14:val="tx1"/>
            </w14:solidFill>
          </w14:textFill>
        </w:rPr>
      </w:pPr>
    </w:p>
    <w:p w14:paraId="2F392BC3">
      <w:pPr>
        <w:pStyle w:val="10"/>
        <w:jc w:val="center"/>
        <w:rPr>
          <w:rFonts w:hint="eastAsia" w:ascii="宋体" w:hAnsi="宋体" w:eastAsia="宋体" w:cs="宋体"/>
          <w:b/>
          <w:bCs/>
          <w:color w:val="000000" w:themeColor="text1"/>
          <w:sz w:val="32"/>
          <w:highlight w:val="none"/>
          <w14:textFill>
            <w14:solidFill>
              <w14:schemeClr w14:val="tx1"/>
            </w14:solidFill>
          </w14:textFill>
        </w:rPr>
      </w:pPr>
      <w:r>
        <w:rPr>
          <w:rFonts w:hint="eastAsia" w:ascii="宋体" w:hAnsi="宋体" w:eastAsia="宋体" w:cs="宋体"/>
          <w:b/>
          <w:color w:val="000000" w:themeColor="text1"/>
          <w:sz w:val="72"/>
          <w:szCs w:val="20"/>
          <w:highlight w:val="none"/>
          <w:lang w:val="en-US" w:eastAsia="zh-CN"/>
          <w14:textFill>
            <w14:solidFill>
              <w14:schemeClr w14:val="tx1"/>
            </w14:solidFill>
          </w14:textFill>
        </w:rPr>
        <w:t>招标</w:t>
      </w:r>
      <w:r>
        <w:rPr>
          <w:rFonts w:hint="eastAsia" w:ascii="宋体" w:hAnsi="宋体" w:eastAsia="宋体" w:cs="宋体"/>
          <w:b/>
          <w:color w:val="000000" w:themeColor="text1"/>
          <w:sz w:val="72"/>
          <w:szCs w:val="20"/>
          <w:highlight w:val="none"/>
          <w:lang w:eastAsia="zh-CN"/>
          <w14:textFill>
            <w14:solidFill>
              <w14:schemeClr w14:val="tx1"/>
            </w14:solidFill>
          </w14:textFill>
        </w:rPr>
        <w:t>文件</w:t>
      </w:r>
    </w:p>
    <w:p w14:paraId="766A7612">
      <w:pPr>
        <w:pStyle w:val="11"/>
        <w:rPr>
          <w:rFonts w:hint="eastAsia" w:ascii="宋体" w:hAnsi="宋体" w:eastAsia="宋体" w:cs="宋体"/>
          <w:color w:val="000000" w:themeColor="text1"/>
          <w:highlight w:val="none"/>
          <w14:textFill>
            <w14:solidFill>
              <w14:schemeClr w14:val="tx1"/>
            </w14:solidFill>
          </w14:textFill>
        </w:rPr>
      </w:pPr>
    </w:p>
    <w:p w14:paraId="781BE735">
      <w:pPr>
        <w:pStyle w:val="10"/>
        <w:rPr>
          <w:rFonts w:hint="eastAsia" w:ascii="宋体" w:hAnsi="宋体" w:eastAsia="宋体" w:cs="宋体"/>
          <w:color w:val="000000" w:themeColor="text1"/>
          <w:highlight w:val="none"/>
          <w14:textFill>
            <w14:solidFill>
              <w14:schemeClr w14:val="tx1"/>
            </w14:solidFill>
          </w14:textFill>
        </w:rPr>
      </w:pPr>
    </w:p>
    <w:p w14:paraId="2D3CFF8B">
      <w:pPr>
        <w:pStyle w:val="10"/>
        <w:rPr>
          <w:rFonts w:hint="eastAsia" w:ascii="宋体" w:hAnsi="宋体" w:eastAsia="宋体" w:cs="宋体"/>
          <w:color w:val="000000" w:themeColor="text1"/>
          <w:highlight w:val="none"/>
          <w14:textFill>
            <w14:solidFill>
              <w14:schemeClr w14:val="tx1"/>
            </w14:solidFill>
          </w14:textFill>
        </w:rPr>
      </w:pPr>
    </w:p>
    <w:p w14:paraId="3A1C1E88">
      <w:pPr>
        <w:pStyle w:val="10"/>
        <w:rPr>
          <w:rFonts w:hint="eastAsia" w:ascii="宋体" w:hAnsi="宋体" w:eastAsia="宋体" w:cs="宋体"/>
          <w:color w:val="000000" w:themeColor="text1"/>
          <w:highlight w:val="none"/>
          <w14:textFill>
            <w14:solidFill>
              <w14:schemeClr w14:val="tx1"/>
            </w14:solidFill>
          </w14:textFill>
        </w:rPr>
      </w:pPr>
    </w:p>
    <w:p w14:paraId="73148D75">
      <w:pPr>
        <w:pStyle w:val="10"/>
        <w:rPr>
          <w:rFonts w:hint="eastAsia" w:ascii="宋体" w:hAnsi="宋体" w:eastAsia="宋体" w:cs="宋体"/>
          <w:color w:val="000000" w:themeColor="text1"/>
          <w:highlight w:val="none"/>
          <w14:textFill>
            <w14:solidFill>
              <w14:schemeClr w14:val="tx1"/>
            </w14:solidFill>
          </w14:textFill>
        </w:rPr>
      </w:pPr>
    </w:p>
    <w:p w14:paraId="0587B876">
      <w:pPr>
        <w:pStyle w:val="10"/>
        <w:rPr>
          <w:rFonts w:hint="eastAsia" w:ascii="宋体" w:hAnsi="宋体" w:eastAsia="宋体" w:cs="宋体"/>
          <w:color w:val="000000" w:themeColor="text1"/>
          <w:highlight w:val="none"/>
          <w14:textFill>
            <w14:solidFill>
              <w14:schemeClr w14:val="tx1"/>
            </w14:solidFill>
          </w14:textFill>
        </w:rPr>
      </w:pPr>
    </w:p>
    <w:p w14:paraId="3ADF7D1B">
      <w:pPr>
        <w:pStyle w:val="10"/>
        <w:rPr>
          <w:rFonts w:hint="eastAsia" w:ascii="宋体" w:hAnsi="宋体" w:eastAsia="宋体" w:cs="宋体"/>
          <w:color w:val="000000" w:themeColor="text1"/>
          <w:highlight w:val="none"/>
          <w14:textFill>
            <w14:solidFill>
              <w14:schemeClr w14:val="tx1"/>
            </w14:solidFill>
          </w14:textFill>
        </w:rPr>
      </w:pPr>
    </w:p>
    <w:p w14:paraId="373F9CD0">
      <w:pPr>
        <w:pStyle w:val="10"/>
        <w:rPr>
          <w:rFonts w:hint="eastAsia" w:ascii="宋体" w:hAnsi="宋体" w:eastAsia="宋体" w:cs="宋体"/>
          <w:color w:val="000000" w:themeColor="text1"/>
          <w:highlight w:val="none"/>
          <w14:textFill>
            <w14:solidFill>
              <w14:schemeClr w14:val="tx1"/>
            </w14:solidFill>
          </w14:textFill>
        </w:rPr>
      </w:pPr>
    </w:p>
    <w:p w14:paraId="73B8A1D7">
      <w:pPr>
        <w:pStyle w:val="10"/>
        <w:rPr>
          <w:rFonts w:hint="eastAsia" w:ascii="宋体" w:hAnsi="宋体" w:eastAsia="宋体" w:cs="宋体"/>
          <w:color w:val="000000" w:themeColor="text1"/>
          <w:highlight w:val="none"/>
          <w14:textFill>
            <w14:solidFill>
              <w14:schemeClr w14:val="tx1"/>
            </w14:solidFill>
          </w14:textFill>
        </w:rPr>
      </w:pPr>
    </w:p>
    <w:p w14:paraId="1C8EEFFB">
      <w:pPr>
        <w:pStyle w:val="10"/>
        <w:rPr>
          <w:rFonts w:hint="eastAsia" w:ascii="宋体" w:hAnsi="宋体" w:eastAsia="宋体" w:cs="宋体"/>
          <w:color w:val="000000" w:themeColor="text1"/>
          <w:highlight w:val="none"/>
          <w14:textFill>
            <w14:solidFill>
              <w14:schemeClr w14:val="tx1"/>
            </w14:solidFill>
          </w14:textFill>
        </w:rPr>
      </w:pPr>
    </w:p>
    <w:p w14:paraId="48B94129">
      <w:pPr>
        <w:keepNext w:val="0"/>
        <w:keepLines w:val="0"/>
        <w:pageBreakBefore w:val="0"/>
        <w:widowControl w:val="0"/>
        <w:kinsoku/>
        <w:wordWrap/>
        <w:overflowPunct/>
        <w:topLinePunct w:val="0"/>
        <w:autoSpaceDE/>
        <w:autoSpaceDN/>
        <w:bidi w:val="0"/>
        <w:adjustRightInd/>
        <w:snapToGrid/>
        <w:spacing w:line="360" w:lineRule="auto"/>
        <w:ind w:firstLine="1259" w:firstLineChars="392"/>
        <w:textAlignment w:val="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t xml:space="preserve"> </w:t>
      </w:r>
      <w:r>
        <w:rPr>
          <w:rFonts w:hint="eastAsia" w:ascii="宋体" w:hAnsi="宋体" w:eastAsia="宋体" w:cs="宋体"/>
          <w:b/>
          <w:bCs/>
          <w:color w:val="000000" w:themeColor="text1"/>
          <w:sz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2"/>
          <w:highlight w:val="none"/>
          <w14:textFill>
            <w14:solidFill>
              <w14:schemeClr w14:val="tx1"/>
            </w14:solidFill>
          </w14:textFill>
        </w:rPr>
        <w:t xml:space="preserve"> </w:t>
      </w:r>
      <w:r>
        <w:rPr>
          <w:rFonts w:hint="eastAsia" w:ascii="宋体" w:hAnsi="宋体" w:eastAsia="宋体" w:cs="宋体"/>
          <w:b/>
          <w:bCs/>
          <w:color w:val="000000" w:themeColor="text1"/>
          <w:sz w:val="32"/>
          <w:szCs w:val="32"/>
          <w:highlight w:val="none"/>
          <w:lang w:eastAsia="zh-CN"/>
          <w14:textFill>
            <w14:solidFill>
              <w14:schemeClr w14:val="tx1"/>
            </w14:solidFill>
          </w14:textFill>
        </w:rPr>
        <w:t>采</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highlight w:val="none"/>
          <w:lang w:eastAsia="zh-CN"/>
          <w14:textFill>
            <w14:solidFill>
              <w14:schemeClr w14:val="tx1"/>
            </w14:solidFill>
          </w14:textFill>
        </w:rPr>
        <w:t>购</w:t>
      </w:r>
      <w:r>
        <w:rPr>
          <w:rFonts w:hint="eastAsia" w:ascii="宋体" w:hAnsi="宋体" w:eastAsia="宋体" w:cs="宋体"/>
          <w:b/>
          <w:bCs/>
          <w:color w:val="000000" w:themeColor="text1"/>
          <w:sz w:val="32"/>
          <w:szCs w:val="32"/>
          <w:highlight w:val="none"/>
          <w14:textFill>
            <w14:solidFill>
              <w14:schemeClr w14:val="tx1"/>
            </w14:solidFill>
          </w14:textFill>
        </w:rPr>
        <w:t xml:space="preserve"> </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highlight w:val="none"/>
          <w14:textFill>
            <w14:solidFill>
              <w14:schemeClr w14:val="tx1"/>
            </w14:solidFill>
          </w14:textFill>
        </w:rPr>
        <w:t>人：叶县辛店镇人民政府</w:t>
      </w:r>
    </w:p>
    <w:p w14:paraId="3841C131">
      <w:pPr>
        <w:keepNext w:val="0"/>
        <w:keepLines w:val="0"/>
        <w:pageBreakBefore w:val="0"/>
        <w:widowControl w:val="0"/>
        <w:kinsoku/>
        <w:wordWrap/>
        <w:overflowPunct/>
        <w:topLinePunct w:val="0"/>
        <w:autoSpaceDE/>
        <w:autoSpaceDN/>
        <w:bidi w:val="0"/>
        <w:adjustRightInd/>
        <w:snapToGrid/>
        <w:spacing w:line="360" w:lineRule="auto"/>
        <w:ind w:firstLine="1259" w:firstLineChars="392"/>
        <w:textAlignment w:val="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 </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highlight w:val="none"/>
          <w14:textFill>
            <w14:solidFill>
              <w14:schemeClr w14:val="tx1"/>
            </w14:solidFill>
          </w14:textFill>
        </w:rPr>
        <w:t xml:space="preserve"> </w:t>
      </w:r>
      <w:r>
        <w:rPr>
          <w:rFonts w:hint="eastAsia" w:ascii="宋体" w:hAnsi="宋体" w:eastAsia="宋体" w:cs="宋体"/>
          <w:b/>
          <w:bCs/>
          <w:color w:val="000000" w:themeColor="text1"/>
          <w:sz w:val="32"/>
          <w:szCs w:val="32"/>
          <w:highlight w:val="none"/>
          <w:lang w:eastAsia="zh-CN"/>
          <w14:textFill>
            <w14:solidFill>
              <w14:schemeClr w14:val="tx1"/>
            </w14:solidFill>
          </w14:textFill>
        </w:rPr>
        <w:t>采购</w:t>
      </w:r>
      <w:r>
        <w:rPr>
          <w:rFonts w:hint="eastAsia" w:ascii="宋体" w:hAnsi="宋体" w:eastAsia="宋体" w:cs="宋体"/>
          <w:b/>
          <w:bCs/>
          <w:color w:val="000000" w:themeColor="text1"/>
          <w:sz w:val="32"/>
          <w:szCs w:val="32"/>
          <w:highlight w:val="none"/>
          <w14:textFill>
            <w14:solidFill>
              <w14:schemeClr w14:val="tx1"/>
            </w14:solidFill>
          </w14:textFill>
        </w:rPr>
        <w:t>代理机构：</w:t>
      </w:r>
      <w:r>
        <w:rPr>
          <w:rFonts w:hint="eastAsia" w:ascii="宋体" w:hAnsi="宋体" w:eastAsia="宋体" w:cs="宋体"/>
          <w:b/>
          <w:bCs/>
          <w:color w:val="000000" w:themeColor="text1"/>
          <w:sz w:val="32"/>
          <w:szCs w:val="32"/>
          <w:highlight w:val="none"/>
          <w:lang w:val="zh-CN"/>
          <w14:textFill>
            <w14:solidFill>
              <w14:schemeClr w14:val="tx1"/>
            </w14:solidFill>
          </w14:textFill>
        </w:rPr>
        <w:t>河南平业咨询有限公司</w:t>
      </w:r>
    </w:p>
    <w:p w14:paraId="7B7F1EF1">
      <w:pPr>
        <w:keepNext w:val="0"/>
        <w:keepLines w:val="0"/>
        <w:pageBreakBefore w:val="0"/>
        <w:widowControl w:val="0"/>
        <w:kinsoku/>
        <w:wordWrap/>
        <w:overflowPunct/>
        <w:topLinePunct w:val="0"/>
        <w:autoSpaceDE/>
        <w:autoSpaceDN/>
        <w:bidi w:val="0"/>
        <w:adjustRightInd/>
        <w:snapToGrid/>
        <w:spacing w:line="360" w:lineRule="auto"/>
        <w:ind w:firstLine="1902" w:firstLineChars="592"/>
        <w:textAlignment w:val="auto"/>
        <w:rPr>
          <w:rFonts w:hint="eastAsia" w:ascii="宋体" w:hAnsi="宋体" w:eastAsia="宋体" w:cs="宋体"/>
          <w:b/>
          <w:bCs/>
          <w:color w:val="000000" w:themeColor="text1"/>
          <w:sz w:val="32"/>
          <w:szCs w:val="32"/>
          <w:highlight w:val="none"/>
          <w:lang w:val="en-US" w:eastAsia="zh-CN"/>
          <w14:textFill>
            <w14:solidFill>
              <w14:schemeClr w14:val="tx1"/>
            </w14:solidFill>
          </w14:textFill>
        </w:rPr>
        <w:sectPr>
          <w:headerReference r:id="rId3" w:type="default"/>
          <w:pgSz w:w="11906" w:h="16838"/>
          <w:pgMar w:top="1418" w:right="1134" w:bottom="1418" w:left="1134" w:header="779" w:footer="713" w:gutter="0"/>
          <w:pgBorders>
            <w:top w:val="none" w:sz="0" w:space="0"/>
            <w:left w:val="none" w:sz="0" w:space="0"/>
            <w:bottom w:val="none" w:sz="0" w:space="0"/>
            <w:right w:val="none" w:sz="0" w:space="0"/>
          </w:pgBorders>
          <w:cols w:space="720" w:num="1"/>
          <w:docGrid w:type="lines" w:linePitch="312" w:charSpace="0"/>
        </w:sectPr>
      </w:pPr>
      <w:r>
        <w:rPr>
          <w:rFonts w:hint="eastAsia" w:ascii="宋体" w:hAnsi="宋体" w:eastAsia="宋体" w:cs="宋体"/>
          <w:b/>
          <w:bCs/>
          <w:color w:val="000000" w:themeColor="text1"/>
          <w:sz w:val="32"/>
          <w:szCs w:val="32"/>
          <w:highlight w:val="none"/>
          <w14:textFill>
            <w14:solidFill>
              <w14:schemeClr w14:val="tx1"/>
            </w14:solidFill>
          </w14:textFill>
        </w:rPr>
        <w:t>日        期：</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2026</w:t>
      </w:r>
      <w:r>
        <w:rPr>
          <w:rFonts w:hint="eastAsia" w:ascii="宋体" w:hAnsi="宋体" w:eastAsia="宋体" w:cs="宋体"/>
          <w:b/>
          <w:bCs/>
          <w:color w:val="000000" w:themeColor="text1"/>
          <w:sz w:val="32"/>
          <w:szCs w:val="32"/>
          <w:highlight w:val="none"/>
          <w14:textFill>
            <w14:solidFill>
              <w14:schemeClr w14:val="tx1"/>
            </w14:solidFill>
          </w14:textFill>
        </w:rPr>
        <w:t>年</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6月</w:t>
      </w:r>
    </w:p>
    <w:bookmarkEnd w:id="0"/>
    <w:bookmarkEnd w:id="1"/>
    <w:p w14:paraId="053E3638">
      <w:pPr>
        <w:ind w:right="-512" w:rightChars="-244"/>
        <w:jc w:val="center"/>
        <w:rPr>
          <w:rFonts w:hint="eastAsia" w:ascii="宋体" w:hAnsi="宋体" w:eastAsia="宋体" w:cs="宋体"/>
          <w:b/>
          <w:bCs/>
          <w:color w:val="000000" w:themeColor="text1"/>
          <w:sz w:val="28"/>
          <w:szCs w:val="28"/>
          <w:highlight w:val="none"/>
          <w14:textFill>
            <w14:solidFill>
              <w14:schemeClr w14:val="tx1"/>
            </w14:solidFill>
          </w14:textFill>
        </w:rPr>
      </w:pPr>
      <w:bookmarkStart w:id="13" w:name="_Toc421804081"/>
      <w:bookmarkStart w:id="14" w:name="_Toc246996898"/>
      <w:bookmarkStart w:id="15" w:name="_Toc417334135"/>
      <w:bookmarkStart w:id="16" w:name="_Toc110"/>
      <w:bookmarkStart w:id="17" w:name="_Toc415232455"/>
      <w:bookmarkStart w:id="18" w:name="_Toc296602400"/>
      <w:bookmarkStart w:id="19" w:name="_Toc454446146"/>
      <w:bookmarkStart w:id="20" w:name="_Toc247085669"/>
      <w:bookmarkStart w:id="21" w:name="_Toc417333957"/>
      <w:bookmarkStart w:id="22" w:name="_Toc415819184"/>
      <w:bookmarkStart w:id="23" w:name="_Toc417334340"/>
    </w:p>
    <w:p w14:paraId="0122925B">
      <w:pPr>
        <w:ind w:right="-512" w:rightChars="-244"/>
        <w:jc w:val="center"/>
        <w:rPr>
          <w:rFonts w:hint="eastAsia" w:ascii="宋体" w:hAnsi="宋体" w:eastAsia="宋体" w:cs="宋体"/>
          <w:b/>
          <w:bCs/>
          <w:cap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目 录</w:t>
      </w:r>
      <w:bookmarkEnd w:id="2"/>
      <w:bookmarkEnd w:id="3"/>
      <w:bookmarkEnd w:id="4"/>
      <w:bookmarkEnd w:id="5"/>
      <w:bookmarkEnd w:id="6"/>
      <w:bookmarkEnd w:id="7"/>
      <w:bookmarkEnd w:id="8"/>
      <w:bookmarkEnd w:id="9"/>
      <w:bookmarkEnd w:id="10"/>
      <w:bookmarkEnd w:id="11"/>
      <w:bookmarkEnd w:id="13"/>
      <w:bookmarkEnd w:id="14"/>
      <w:bookmarkEnd w:id="15"/>
      <w:bookmarkEnd w:id="16"/>
      <w:bookmarkEnd w:id="17"/>
      <w:bookmarkEnd w:id="18"/>
      <w:bookmarkEnd w:id="19"/>
      <w:bookmarkEnd w:id="20"/>
      <w:bookmarkEnd w:id="21"/>
      <w:bookmarkEnd w:id="22"/>
      <w:bookmarkEnd w:id="23"/>
      <w:bookmarkStart w:id="24" w:name="_Toc135648883"/>
      <w:bookmarkStart w:id="25" w:name="_Toc179632544"/>
      <w:bookmarkStart w:id="26" w:name="_Toc24048"/>
      <w:bookmarkStart w:id="27" w:name="_Toc144974495"/>
      <w:bookmarkStart w:id="28" w:name="_Toc246996916"/>
      <w:bookmarkStart w:id="29" w:name="_Toc18031"/>
      <w:bookmarkStart w:id="30" w:name="_Toc246996173"/>
      <w:bookmarkStart w:id="31" w:name="_Toc152045527"/>
      <w:bookmarkStart w:id="32" w:name="_Toc13712"/>
      <w:bookmarkStart w:id="33" w:name="_Toc152042303"/>
      <w:bookmarkStart w:id="34" w:name="_Toc247085687"/>
      <w:r>
        <w:rPr>
          <w:rFonts w:hint="eastAsia" w:ascii="宋体" w:hAnsi="宋体" w:eastAsia="宋体" w:cs="宋体"/>
          <w:b/>
          <w:bCs/>
          <w:cap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aps/>
          <w:color w:val="000000" w:themeColor="text1"/>
          <w:sz w:val="24"/>
          <w:szCs w:val="24"/>
          <w:highlight w:val="none"/>
          <w14:textFill>
            <w14:solidFill>
              <w14:schemeClr w14:val="tx1"/>
            </w14:solidFill>
          </w14:textFill>
        </w:rPr>
        <w:instrText xml:space="preserve"> TOC \o "1-3" \h \z \u </w:instrText>
      </w:r>
      <w:r>
        <w:rPr>
          <w:rFonts w:hint="eastAsia" w:ascii="宋体" w:hAnsi="宋体" w:eastAsia="宋体" w:cs="宋体"/>
          <w:b/>
          <w:bCs/>
          <w:caps/>
          <w:color w:val="000000" w:themeColor="text1"/>
          <w:sz w:val="24"/>
          <w:szCs w:val="24"/>
          <w:highlight w:val="none"/>
          <w14:textFill>
            <w14:solidFill>
              <w14:schemeClr w14:val="tx1"/>
            </w14:solidFill>
          </w14:textFill>
        </w:rPr>
        <w:fldChar w:fldCharType="separate"/>
      </w:r>
    </w:p>
    <w:sdt>
      <w:sdtPr>
        <w:rPr>
          <w:rFonts w:ascii="宋体" w:hAnsi="宋体" w:eastAsia="宋体" w:cs="Times New Roman"/>
          <w:color w:val="000000" w:themeColor="text1"/>
          <w:kern w:val="2"/>
          <w:sz w:val="24"/>
          <w:szCs w:val="24"/>
          <w:lang w:val="en-US" w:eastAsia="zh-CN" w:bidi="ar-SA"/>
          <w14:textFill>
            <w14:solidFill>
              <w14:schemeClr w14:val="tx1"/>
            </w14:solidFill>
          </w14:textFill>
        </w:rPr>
        <w:id w:val="147477648"/>
        <w15:color w:val="DBDBDB"/>
        <w:docPartObj>
          <w:docPartGallery w:val="Table of Contents"/>
          <w:docPartUnique/>
        </w:docPartObj>
      </w:sdtPr>
      <w:sdtEndPr>
        <w:rPr>
          <w:rFonts w:hint="eastAsia" w:ascii="宋体" w:hAnsi="宋体" w:eastAsia="宋体" w:cs="宋体"/>
          <w:bCs/>
          <w:caps/>
          <w:color w:val="000000" w:themeColor="text1"/>
          <w:kern w:val="2"/>
          <w:sz w:val="21"/>
          <w:szCs w:val="24"/>
          <w:highlight w:val="none"/>
          <w:lang w:val="en-US" w:eastAsia="zh-CN" w:bidi="ar-SA"/>
          <w14:textFill>
            <w14:solidFill>
              <w14:schemeClr w14:val="tx1"/>
            </w14:solidFill>
          </w14:textFill>
        </w:rPr>
      </w:sdtEndPr>
      <w:sdtContent>
        <w:p w14:paraId="24CC2A80">
          <w:pPr>
            <w:spacing w:before="0" w:beforeLines="0" w:after="0" w:afterLines="0" w:line="240" w:lineRule="auto"/>
            <w:ind w:left="0" w:leftChars="0" w:right="0" w:rightChars="0" w:firstLine="0" w:firstLineChars="0"/>
            <w:jc w:val="center"/>
            <w:rPr>
              <w:color w:val="000000" w:themeColor="text1"/>
              <w:sz w:val="24"/>
              <w:szCs w:val="24"/>
              <w14:textFill>
                <w14:solidFill>
                  <w14:schemeClr w14:val="tx1"/>
                </w14:solidFill>
              </w14:textFill>
            </w:rPr>
          </w:pPr>
        </w:p>
        <w:p w14:paraId="65497063">
          <w:pPr>
            <w:pStyle w:val="14"/>
            <w:keepNext w:val="0"/>
            <w:keepLines w:val="0"/>
            <w:pageBreakBefore w:val="0"/>
            <w:widowControl w:val="0"/>
            <w:tabs>
              <w:tab w:val="right" w:leader="dot" w:pos="9355"/>
            </w:tabs>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r>
            <w:rPr>
              <w:rFonts w:hint="eastAsia" w:ascii="宋体" w:hAnsi="宋体" w:eastAsia="宋体" w:cs="宋体"/>
              <w:b/>
              <w:bCs/>
              <w:cap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aps/>
              <w:color w:val="000000" w:themeColor="text1"/>
              <w:sz w:val="24"/>
              <w:szCs w:val="24"/>
              <w:highlight w:val="none"/>
              <w14:textFill>
                <w14:solidFill>
                  <w14:schemeClr w14:val="tx1"/>
                </w14:solidFill>
              </w14:textFill>
            </w:rPr>
            <w:instrText xml:space="preserve">TOC \o "1-1" \h \u </w:instrText>
          </w:r>
          <w:r>
            <w:rPr>
              <w:rFonts w:hint="eastAsia" w:ascii="宋体" w:hAnsi="宋体" w:eastAsia="宋体" w:cs="宋体"/>
              <w:b/>
              <w:bCs/>
              <w:cap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aps/>
              <w:color w:val="000000" w:themeColor="text1"/>
              <w:sz w:val="24"/>
              <w:szCs w:val="24"/>
              <w:highlight w:val="none"/>
              <w14:textFill>
                <w14:solidFill>
                  <w14:schemeClr w14:val="tx1"/>
                </w14:solidFill>
              </w14:textFill>
            </w:rPr>
            <w:fldChar w:fldCharType="begin"/>
          </w:r>
          <w:r>
            <w:rPr>
              <w:rFonts w:hint="eastAsia" w:ascii="宋体" w:hAnsi="宋体" w:eastAsia="宋体" w:cs="宋体"/>
              <w:bCs/>
              <w:caps/>
              <w:color w:val="000000" w:themeColor="text1"/>
              <w:sz w:val="24"/>
              <w:szCs w:val="24"/>
              <w:highlight w:val="none"/>
              <w14:textFill>
                <w14:solidFill>
                  <w14:schemeClr w14:val="tx1"/>
                </w14:solidFill>
              </w14:textFill>
            </w:rPr>
            <w:instrText xml:space="preserve"> HYPERLINK \l _Toc2786 </w:instrText>
          </w:r>
          <w:r>
            <w:rPr>
              <w:rFonts w:hint="eastAsia" w:ascii="宋体" w:hAnsi="宋体" w:eastAsia="宋体" w:cs="宋体"/>
              <w:bCs/>
              <w:caps/>
              <w:color w:val="000000" w:themeColor="text1"/>
              <w:sz w:val="24"/>
              <w:szCs w:val="24"/>
              <w:highlight w:val="none"/>
              <w14:textFill>
                <w14:solidFill>
                  <w14:schemeClr w14:val="tx1"/>
                </w14:solidFill>
              </w14:textFill>
            </w:rPr>
            <w:fldChar w:fldCharType="separate"/>
          </w:r>
          <w:r>
            <w:rPr>
              <w:rFonts w:hint="eastAsia"/>
              <w:color w:val="000000" w:themeColor="text1"/>
              <w:sz w:val="24"/>
              <w:szCs w:val="24"/>
              <w14:textFill>
                <w14:solidFill>
                  <w14:schemeClr w14:val="tx1"/>
                </w14:solidFill>
              </w14:textFill>
            </w:rPr>
            <w:t>第一章 招标公告</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_Toc2786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w:t>
          </w:r>
          <w:r>
            <w:rPr>
              <w:color w:val="000000" w:themeColor="text1"/>
              <w:sz w:val="24"/>
              <w:szCs w:val="24"/>
              <w14:textFill>
                <w14:solidFill>
                  <w14:schemeClr w14:val="tx1"/>
                </w14:solidFill>
              </w14:textFill>
            </w:rPr>
            <w:fldChar w:fldCharType="end"/>
          </w:r>
          <w:r>
            <w:rPr>
              <w:rFonts w:hint="eastAsia" w:ascii="宋体" w:hAnsi="宋体" w:eastAsia="宋体" w:cs="宋体"/>
              <w:bCs/>
              <w:caps/>
              <w:color w:val="000000" w:themeColor="text1"/>
              <w:sz w:val="24"/>
              <w:szCs w:val="24"/>
              <w:highlight w:val="none"/>
              <w14:textFill>
                <w14:solidFill>
                  <w14:schemeClr w14:val="tx1"/>
                </w14:solidFill>
              </w14:textFill>
            </w:rPr>
            <w:fldChar w:fldCharType="end"/>
          </w:r>
        </w:p>
        <w:p w14:paraId="00C34C29">
          <w:pPr>
            <w:pStyle w:val="14"/>
            <w:keepNext w:val="0"/>
            <w:keepLines w:val="0"/>
            <w:pageBreakBefore w:val="0"/>
            <w:widowControl w:val="0"/>
            <w:tabs>
              <w:tab w:val="right" w:leader="dot" w:pos="9355"/>
            </w:tabs>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fldChar w:fldCharType="begin"/>
          </w:r>
          <w:r>
            <w:rPr>
              <w:rFonts w:hint="eastAsia" w:ascii="宋体" w:hAnsi="宋体" w:eastAsia="宋体" w:cs="宋体"/>
              <w:bCs/>
              <w:caps/>
              <w:color w:val="000000" w:themeColor="text1"/>
              <w:sz w:val="24"/>
              <w:szCs w:val="24"/>
              <w:highlight w:val="none"/>
              <w14:textFill>
                <w14:solidFill>
                  <w14:schemeClr w14:val="tx1"/>
                </w14:solidFill>
              </w14:textFill>
            </w:rPr>
            <w:instrText xml:space="preserve"> HYPERLINK \l _Toc19313 </w:instrText>
          </w:r>
          <w:r>
            <w:rPr>
              <w:rFonts w:hint="eastAsia" w:ascii="宋体" w:hAnsi="宋体" w:eastAsia="宋体" w:cs="宋体"/>
              <w:bCs/>
              <w:caps/>
              <w:color w:val="000000" w:themeColor="text1"/>
              <w:sz w:val="24"/>
              <w:szCs w:val="24"/>
              <w:highlight w:val="none"/>
              <w14:textFill>
                <w14:solidFill>
                  <w14:schemeClr w14:val="tx1"/>
                </w14:solidFill>
              </w14:textFill>
            </w:rPr>
            <w:fldChar w:fldCharType="separate"/>
          </w:r>
          <w:r>
            <w:rPr>
              <w:rFonts w:hint="eastAsia"/>
              <w:color w:val="000000" w:themeColor="text1"/>
              <w:sz w:val="24"/>
              <w:szCs w:val="24"/>
              <w14:textFill>
                <w14:solidFill>
                  <w14:schemeClr w14:val="tx1"/>
                </w14:solidFill>
              </w14:textFill>
            </w:rPr>
            <w:t>第二章 投标人须知</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_Toc19313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6</w:t>
          </w:r>
          <w:r>
            <w:rPr>
              <w:color w:val="000000" w:themeColor="text1"/>
              <w:sz w:val="24"/>
              <w:szCs w:val="24"/>
              <w14:textFill>
                <w14:solidFill>
                  <w14:schemeClr w14:val="tx1"/>
                </w14:solidFill>
              </w14:textFill>
            </w:rPr>
            <w:fldChar w:fldCharType="end"/>
          </w:r>
          <w:r>
            <w:rPr>
              <w:rFonts w:hint="eastAsia" w:ascii="宋体" w:hAnsi="宋体" w:eastAsia="宋体" w:cs="宋体"/>
              <w:bCs/>
              <w:caps/>
              <w:color w:val="000000" w:themeColor="text1"/>
              <w:sz w:val="24"/>
              <w:szCs w:val="24"/>
              <w:highlight w:val="none"/>
              <w14:textFill>
                <w14:solidFill>
                  <w14:schemeClr w14:val="tx1"/>
                </w14:solidFill>
              </w14:textFill>
            </w:rPr>
            <w:fldChar w:fldCharType="end"/>
          </w:r>
        </w:p>
        <w:p w14:paraId="365A9D3B">
          <w:pPr>
            <w:pStyle w:val="14"/>
            <w:keepNext w:val="0"/>
            <w:keepLines w:val="0"/>
            <w:pageBreakBefore w:val="0"/>
            <w:widowControl w:val="0"/>
            <w:tabs>
              <w:tab w:val="right" w:leader="dot" w:pos="9355"/>
            </w:tabs>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fldChar w:fldCharType="begin"/>
          </w:r>
          <w:r>
            <w:rPr>
              <w:rFonts w:hint="eastAsia" w:ascii="宋体" w:hAnsi="宋体" w:eastAsia="宋体" w:cs="宋体"/>
              <w:bCs/>
              <w:caps/>
              <w:color w:val="000000" w:themeColor="text1"/>
              <w:sz w:val="24"/>
              <w:szCs w:val="24"/>
              <w:highlight w:val="none"/>
              <w14:textFill>
                <w14:solidFill>
                  <w14:schemeClr w14:val="tx1"/>
                </w14:solidFill>
              </w14:textFill>
            </w:rPr>
            <w:instrText xml:space="preserve"> HYPERLINK \l _Toc30531 </w:instrText>
          </w:r>
          <w:r>
            <w:rPr>
              <w:rFonts w:hint="eastAsia" w:ascii="宋体" w:hAnsi="宋体" w:eastAsia="宋体" w:cs="宋体"/>
              <w:bCs/>
              <w:caps/>
              <w:color w:val="000000" w:themeColor="text1"/>
              <w:sz w:val="24"/>
              <w:szCs w:val="24"/>
              <w:highlight w:val="none"/>
              <w14:textFill>
                <w14:solidFill>
                  <w14:schemeClr w14:val="tx1"/>
                </w14:solidFill>
              </w14:textFill>
            </w:rPr>
            <w:fldChar w:fldCharType="separate"/>
          </w:r>
          <w:r>
            <w:rPr>
              <w:rFonts w:hint="eastAsia"/>
              <w:color w:val="000000" w:themeColor="text1"/>
              <w:sz w:val="24"/>
              <w:szCs w:val="24"/>
              <w14:textFill>
                <w14:solidFill>
                  <w14:schemeClr w14:val="tx1"/>
                </w14:solidFill>
              </w14:textFill>
            </w:rPr>
            <w:t>第三章 评标办法（综合评分法）</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_Toc30531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20</w:t>
          </w:r>
          <w:r>
            <w:rPr>
              <w:color w:val="000000" w:themeColor="text1"/>
              <w:sz w:val="24"/>
              <w:szCs w:val="24"/>
              <w14:textFill>
                <w14:solidFill>
                  <w14:schemeClr w14:val="tx1"/>
                </w14:solidFill>
              </w14:textFill>
            </w:rPr>
            <w:fldChar w:fldCharType="end"/>
          </w:r>
          <w:r>
            <w:rPr>
              <w:rFonts w:hint="eastAsia" w:ascii="宋体" w:hAnsi="宋体" w:eastAsia="宋体" w:cs="宋体"/>
              <w:bCs/>
              <w:caps/>
              <w:color w:val="000000" w:themeColor="text1"/>
              <w:sz w:val="24"/>
              <w:szCs w:val="24"/>
              <w:highlight w:val="none"/>
              <w14:textFill>
                <w14:solidFill>
                  <w14:schemeClr w14:val="tx1"/>
                </w14:solidFill>
              </w14:textFill>
            </w:rPr>
            <w:fldChar w:fldCharType="end"/>
          </w:r>
        </w:p>
        <w:p w14:paraId="6B1CEE84">
          <w:pPr>
            <w:pStyle w:val="14"/>
            <w:keepNext w:val="0"/>
            <w:keepLines w:val="0"/>
            <w:pageBreakBefore w:val="0"/>
            <w:widowControl w:val="0"/>
            <w:tabs>
              <w:tab w:val="right" w:leader="dot" w:pos="9355"/>
            </w:tabs>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fldChar w:fldCharType="begin"/>
          </w:r>
          <w:r>
            <w:rPr>
              <w:rFonts w:hint="eastAsia" w:ascii="宋体" w:hAnsi="宋体" w:eastAsia="宋体" w:cs="宋体"/>
              <w:bCs/>
              <w:caps/>
              <w:color w:val="000000" w:themeColor="text1"/>
              <w:sz w:val="24"/>
              <w:szCs w:val="24"/>
              <w:highlight w:val="none"/>
              <w14:textFill>
                <w14:solidFill>
                  <w14:schemeClr w14:val="tx1"/>
                </w14:solidFill>
              </w14:textFill>
            </w:rPr>
            <w:instrText xml:space="preserve"> HYPERLINK \l _Toc23104 </w:instrText>
          </w:r>
          <w:r>
            <w:rPr>
              <w:rFonts w:hint="eastAsia" w:ascii="宋体" w:hAnsi="宋体" w:eastAsia="宋体" w:cs="宋体"/>
              <w:bCs/>
              <w:caps/>
              <w:color w:val="000000" w:themeColor="text1"/>
              <w:sz w:val="24"/>
              <w:szCs w:val="24"/>
              <w:highlight w:val="none"/>
              <w14:textFill>
                <w14:solidFill>
                  <w14:schemeClr w14:val="tx1"/>
                </w14:solidFill>
              </w14:textFill>
            </w:rPr>
            <w:fldChar w:fldCharType="separate"/>
          </w:r>
          <w:r>
            <w:rPr>
              <w:rFonts w:hint="eastAsia"/>
              <w:color w:val="000000" w:themeColor="text1"/>
              <w:sz w:val="24"/>
              <w:szCs w:val="24"/>
              <w14:textFill>
                <w14:solidFill>
                  <w14:schemeClr w14:val="tx1"/>
                </w14:solidFill>
              </w14:textFill>
            </w:rPr>
            <w:t>第四章  采购内容及要求</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_Toc23104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27</w:t>
          </w:r>
          <w:r>
            <w:rPr>
              <w:color w:val="000000" w:themeColor="text1"/>
              <w:sz w:val="24"/>
              <w:szCs w:val="24"/>
              <w14:textFill>
                <w14:solidFill>
                  <w14:schemeClr w14:val="tx1"/>
                </w14:solidFill>
              </w14:textFill>
            </w:rPr>
            <w:fldChar w:fldCharType="end"/>
          </w:r>
          <w:r>
            <w:rPr>
              <w:rFonts w:hint="eastAsia" w:ascii="宋体" w:hAnsi="宋体" w:eastAsia="宋体" w:cs="宋体"/>
              <w:bCs/>
              <w:caps/>
              <w:color w:val="000000" w:themeColor="text1"/>
              <w:sz w:val="24"/>
              <w:szCs w:val="24"/>
              <w:highlight w:val="none"/>
              <w14:textFill>
                <w14:solidFill>
                  <w14:schemeClr w14:val="tx1"/>
                </w14:solidFill>
              </w14:textFill>
            </w:rPr>
            <w:fldChar w:fldCharType="end"/>
          </w:r>
        </w:p>
        <w:p w14:paraId="01689013">
          <w:pPr>
            <w:pStyle w:val="14"/>
            <w:keepNext w:val="0"/>
            <w:keepLines w:val="0"/>
            <w:pageBreakBefore w:val="0"/>
            <w:widowControl w:val="0"/>
            <w:tabs>
              <w:tab w:val="right" w:leader="dot" w:pos="9355"/>
            </w:tabs>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fldChar w:fldCharType="begin"/>
          </w:r>
          <w:r>
            <w:rPr>
              <w:rFonts w:hint="eastAsia" w:ascii="宋体" w:hAnsi="宋体" w:eastAsia="宋体" w:cs="宋体"/>
              <w:bCs/>
              <w:caps/>
              <w:color w:val="000000" w:themeColor="text1"/>
              <w:sz w:val="24"/>
              <w:szCs w:val="24"/>
              <w:highlight w:val="none"/>
              <w14:textFill>
                <w14:solidFill>
                  <w14:schemeClr w14:val="tx1"/>
                </w14:solidFill>
              </w14:textFill>
            </w:rPr>
            <w:instrText xml:space="preserve"> HYPERLINK \l _Toc12576 </w:instrText>
          </w:r>
          <w:r>
            <w:rPr>
              <w:rFonts w:hint="eastAsia" w:ascii="宋体" w:hAnsi="宋体" w:eastAsia="宋体" w:cs="宋体"/>
              <w:bCs/>
              <w:caps/>
              <w:color w:val="000000" w:themeColor="text1"/>
              <w:sz w:val="24"/>
              <w:szCs w:val="24"/>
              <w:highlight w:val="none"/>
              <w14:textFill>
                <w14:solidFill>
                  <w14:schemeClr w14:val="tx1"/>
                </w14:solidFill>
              </w14:textFill>
            </w:rPr>
            <w:fldChar w:fldCharType="separate"/>
          </w:r>
          <w:r>
            <w:rPr>
              <w:rFonts w:hint="eastAsia"/>
              <w:color w:val="000000" w:themeColor="text1"/>
              <w:sz w:val="24"/>
              <w:szCs w:val="24"/>
              <w14:textFill>
                <w14:solidFill>
                  <w14:schemeClr w14:val="tx1"/>
                </w14:solidFill>
              </w14:textFill>
            </w:rPr>
            <w:t>第五章 合同条款及格式</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_Toc12576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32</w:t>
          </w:r>
          <w:r>
            <w:rPr>
              <w:color w:val="000000" w:themeColor="text1"/>
              <w:sz w:val="24"/>
              <w:szCs w:val="24"/>
              <w14:textFill>
                <w14:solidFill>
                  <w14:schemeClr w14:val="tx1"/>
                </w14:solidFill>
              </w14:textFill>
            </w:rPr>
            <w:fldChar w:fldCharType="end"/>
          </w:r>
          <w:r>
            <w:rPr>
              <w:rFonts w:hint="eastAsia" w:ascii="宋体" w:hAnsi="宋体" w:eastAsia="宋体" w:cs="宋体"/>
              <w:bCs/>
              <w:caps/>
              <w:color w:val="000000" w:themeColor="text1"/>
              <w:sz w:val="24"/>
              <w:szCs w:val="24"/>
              <w:highlight w:val="none"/>
              <w14:textFill>
                <w14:solidFill>
                  <w14:schemeClr w14:val="tx1"/>
                </w14:solidFill>
              </w14:textFill>
            </w:rPr>
            <w:fldChar w:fldCharType="end"/>
          </w:r>
        </w:p>
        <w:p w14:paraId="2B47F6BB">
          <w:pPr>
            <w:pStyle w:val="14"/>
            <w:keepNext w:val="0"/>
            <w:keepLines w:val="0"/>
            <w:pageBreakBefore w:val="0"/>
            <w:widowControl w:val="0"/>
            <w:tabs>
              <w:tab w:val="right" w:leader="dot" w:pos="9355"/>
            </w:tabs>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fldChar w:fldCharType="begin"/>
          </w:r>
          <w:r>
            <w:rPr>
              <w:rFonts w:hint="eastAsia" w:ascii="宋体" w:hAnsi="宋体" w:eastAsia="宋体" w:cs="宋体"/>
              <w:bCs/>
              <w:caps/>
              <w:color w:val="000000" w:themeColor="text1"/>
              <w:sz w:val="24"/>
              <w:szCs w:val="24"/>
              <w:highlight w:val="none"/>
              <w14:textFill>
                <w14:solidFill>
                  <w14:schemeClr w14:val="tx1"/>
                </w14:solidFill>
              </w14:textFill>
            </w:rPr>
            <w:instrText xml:space="preserve"> HYPERLINK \l _Toc21355 </w:instrText>
          </w:r>
          <w:r>
            <w:rPr>
              <w:rFonts w:hint="eastAsia" w:ascii="宋体" w:hAnsi="宋体" w:eastAsia="宋体" w:cs="宋体"/>
              <w:bCs/>
              <w:caps/>
              <w:color w:val="000000" w:themeColor="text1"/>
              <w:sz w:val="24"/>
              <w:szCs w:val="24"/>
              <w:highlight w:val="none"/>
              <w14:textFill>
                <w14:solidFill>
                  <w14:schemeClr w14:val="tx1"/>
                </w14:solidFill>
              </w14:textFill>
            </w:rPr>
            <w:fldChar w:fldCharType="separate"/>
          </w:r>
          <w:r>
            <w:rPr>
              <w:rFonts w:hint="eastAsia"/>
              <w:color w:val="000000" w:themeColor="text1"/>
              <w:sz w:val="24"/>
              <w:szCs w:val="24"/>
              <w14:textFill>
                <w14:solidFill>
                  <w14:schemeClr w14:val="tx1"/>
                </w14:solidFill>
              </w14:textFill>
            </w:rPr>
            <w:t>第六章  投标文件格式</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_Toc21355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36</w:t>
          </w:r>
          <w:r>
            <w:rPr>
              <w:color w:val="000000" w:themeColor="text1"/>
              <w:sz w:val="24"/>
              <w:szCs w:val="24"/>
              <w14:textFill>
                <w14:solidFill>
                  <w14:schemeClr w14:val="tx1"/>
                </w14:solidFill>
              </w14:textFill>
            </w:rPr>
            <w:fldChar w:fldCharType="end"/>
          </w:r>
          <w:r>
            <w:rPr>
              <w:rFonts w:hint="eastAsia" w:ascii="宋体" w:hAnsi="宋体" w:eastAsia="宋体" w:cs="宋体"/>
              <w:bCs/>
              <w:caps/>
              <w:color w:val="000000" w:themeColor="text1"/>
              <w:sz w:val="24"/>
              <w:szCs w:val="24"/>
              <w:highlight w:val="none"/>
              <w14:textFill>
                <w14:solidFill>
                  <w14:schemeClr w14:val="tx1"/>
                </w14:solidFill>
              </w14:textFill>
            </w:rPr>
            <w:fldChar w:fldCharType="end"/>
          </w:r>
        </w:p>
        <w:p w14:paraId="1EE0DD8F">
          <w:pPr>
            <w:keepNext w:val="0"/>
            <w:keepLines w:val="0"/>
            <w:pageBreakBefore w:val="0"/>
            <w:widowControl w:val="0"/>
            <w:tabs>
              <w:tab w:val="right" w:leader="dot" w:pos="9345"/>
            </w:tabs>
            <w:kinsoku/>
            <w:wordWrap/>
            <w:overflowPunct/>
            <w:topLinePunct w:val="0"/>
            <w:autoSpaceDE/>
            <w:autoSpaceDN/>
            <w:bidi w:val="0"/>
            <w:adjustRightInd/>
            <w:snapToGrid/>
            <w:spacing w:before="120" w:after="120" w:line="360" w:lineRule="auto"/>
            <w:jc w:val="left"/>
            <w:textAlignment w:val="auto"/>
            <w:rPr>
              <w:rFonts w:hint="eastAsia" w:ascii="宋体" w:hAnsi="宋体" w:eastAsia="宋体" w:cs="宋体"/>
              <w:bCs/>
              <w:caps/>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fldChar w:fldCharType="end"/>
          </w:r>
        </w:p>
      </w:sdtContent>
    </w:sdt>
    <w:p w14:paraId="5998573B">
      <w:pPr>
        <w:keepNext w:val="0"/>
        <w:keepLines w:val="0"/>
        <w:pageBreakBefore w:val="0"/>
        <w:widowControl w:val="0"/>
        <w:tabs>
          <w:tab w:val="right" w:leader="dot" w:pos="9345"/>
        </w:tabs>
        <w:kinsoku/>
        <w:wordWrap/>
        <w:overflowPunct/>
        <w:topLinePunct w:val="0"/>
        <w:autoSpaceDE/>
        <w:autoSpaceDN/>
        <w:bidi w:val="0"/>
        <w:adjustRightInd/>
        <w:snapToGrid/>
        <w:spacing w:before="120" w:after="120" w:line="360" w:lineRule="auto"/>
        <w:jc w:val="left"/>
        <w:textAlignment w:val="auto"/>
        <w:rPr>
          <w:rFonts w:hint="eastAsia" w:ascii="宋体" w:hAnsi="宋体" w:eastAsia="宋体" w:cs="宋体"/>
          <w:bCs/>
          <w:caps/>
          <w:color w:val="000000" w:themeColor="text1"/>
          <w:kern w:val="2"/>
          <w:sz w:val="21"/>
          <w:szCs w:val="24"/>
          <w:highlight w:val="none"/>
          <w:lang w:val="en-US" w:eastAsia="zh-CN" w:bidi="ar-SA"/>
          <w14:textFill>
            <w14:solidFill>
              <w14:schemeClr w14:val="tx1"/>
            </w14:solidFill>
          </w14:textFill>
        </w:rPr>
      </w:pPr>
    </w:p>
    <w:p w14:paraId="3F3CFA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fldChar w:fldCharType="end"/>
      </w:r>
    </w:p>
    <w:p w14:paraId="2B09F010">
      <w:pPr>
        <w:ind w:right="-512" w:rightChars="-244"/>
        <w:jc w:val="center"/>
        <w:rPr>
          <w:rFonts w:hint="eastAsia" w:ascii="宋体" w:hAnsi="宋体" w:eastAsia="宋体" w:cs="宋体"/>
          <w:b/>
          <w:bCs/>
          <w:color w:val="000000" w:themeColor="text1"/>
          <w:sz w:val="24"/>
          <w:szCs w:val="24"/>
          <w:highlight w:val="none"/>
          <w14:textFill>
            <w14:solidFill>
              <w14:schemeClr w14:val="tx1"/>
            </w14:solidFill>
          </w14:textFill>
        </w:rPr>
      </w:pPr>
    </w:p>
    <w:p w14:paraId="1FA51555">
      <w:pPr>
        <w:ind w:right="-512" w:rightChars="-244"/>
        <w:jc w:val="center"/>
        <w:rPr>
          <w:rFonts w:hint="eastAsia" w:ascii="宋体" w:hAnsi="宋体" w:eastAsia="宋体" w:cs="宋体"/>
          <w:b/>
          <w:bCs/>
          <w:color w:val="000000" w:themeColor="text1"/>
          <w:sz w:val="24"/>
          <w:szCs w:val="24"/>
          <w:highlight w:val="none"/>
          <w14:textFill>
            <w14:solidFill>
              <w14:schemeClr w14:val="tx1"/>
            </w14:solidFill>
          </w14:textFill>
        </w:rPr>
      </w:pPr>
    </w:p>
    <w:p w14:paraId="5CDB9B67">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50D3C548">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52E76748">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7EE7A20F">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0A76B9A8">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177F694A">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11FAD7B7">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5EA19131">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78A97C1E">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7E67ED29">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786E10DF">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2589B2A9">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0E40B1A1">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1A05BC47">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53E8CA70">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6513F1B3">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280CD0F3">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10785F43">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5EB39581">
      <w:pPr>
        <w:ind w:right="-512" w:rightChars="-244"/>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3501711A">
      <w:pPr>
        <w:bidi w:val="0"/>
        <w:rPr>
          <w:rFonts w:hint="eastAsia"/>
          <w:color w:val="000000" w:themeColor="text1"/>
          <w14:textFill>
            <w14:solidFill>
              <w14:schemeClr w14:val="tx1"/>
            </w14:solidFill>
          </w14:textFill>
        </w:rPr>
      </w:pPr>
    </w:p>
    <w:p w14:paraId="3807AB63">
      <w:pPr>
        <w:pStyle w:val="3"/>
        <w:bidi w:val="0"/>
        <w:rPr>
          <w:rFonts w:hint="eastAsia"/>
          <w:color w:val="000000" w:themeColor="text1"/>
          <w14:textFill>
            <w14:solidFill>
              <w14:schemeClr w14:val="tx1"/>
            </w14:solidFill>
          </w14:textFill>
        </w:rPr>
      </w:pPr>
      <w:bookmarkStart w:id="35" w:name="_Toc135922534"/>
      <w:bookmarkStart w:id="36" w:name="_Toc2786"/>
      <w:r>
        <w:rPr>
          <w:rFonts w:hint="eastAsia"/>
          <w:color w:val="000000" w:themeColor="text1"/>
          <w14:textFill>
            <w14:solidFill>
              <w14:schemeClr w14:val="tx1"/>
            </w14:solidFill>
          </w14:textFill>
        </w:rPr>
        <w:t>第一章 招标公告</w:t>
      </w:r>
      <w:bookmarkEnd w:id="24"/>
      <w:bookmarkEnd w:id="35"/>
      <w:bookmarkEnd w:id="36"/>
    </w:p>
    <w:p w14:paraId="7D3FA719">
      <w:pPr>
        <w:spacing w:line="360" w:lineRule="auto"/>
        <w:jc w:val="center"/>
        <w:rPr>
          <w:rFonts w:hint="eastAsia" w:ascii="宋体" w:hAnsi="宋体" w:eastAsia="宋体" w:cs="宋体"/>
          <w:color w:val="000000" w:themeColor="text1"/>
          <w:highlight w:val="none"/>
          <w14:textFill>
            <w14:solidFill>
              <w14:schemeClr w14:val="tx1"/>
            </w14:solidFill>
          </w14:textFill>
        </w:rPr>
      </w:pPr>
    </w:p>
    <w:p w14:paraId="183AF67A">
      <w:pPr>
        <w:spacing w:line="360" w:lineRule="auto"/>
        <w:jc w:val="center"/>
        <w:rPr>
          <w:rFonts w:hint="eastAsia" w:ascii="宋体" w:hAnsi="宋体" w:eastAsia="宋体" w:cs="宋体"/>
          <w:b/>
          <w:bCs/>
          <w:color w:val="000000" w:themeColor="text1"/>
          <w:sz w:val="24"/>
          <w:szCs w:val="28"/>
          <w:highlight w:val="none"/>
          <w14:textFill>
            <w14:solidFill>
              <w14:schemeClr w14:val="tx1"/>
            </w14:solidFill>
          </w14:textFill>
        </w:rPr>
      </w:pPr>
      <w:r>
        <w:rPr>
          <w:rFonts w:hint="eastAsia" w:ascii="宋体" w:hAnsi="宋体" w:eastAsia="宋体" w:cs="宋体"/>
          <w:b/>
          <w:bCs/>
          <w:color w:val="000000" w:themeColor="text1"/>
          <w:sz w:val="24"/>
          <w:szCs w:val="28"/>
          <w:highlight w:val="none"/>
          <w14:textFill>
            <w14:solidFill>
              <w14:schemeClr w14:val="tx1"/>
            </w14:solidFill>
          </w14:textFill>
        </w:rPr>
        <w:t>【平公资采</w:t>
      </w:r>
      <w:r>
        <w:rPr>
          <w:rFonts w:hint="eastAsia" w:ascii="宋体" w:hAnsi="宋体" w:cs="宋体"/>
          <w:b/>
          <w:bCs/>
          <w:color w:val="000000" w:themeColor="text1"/>
          <w:sz w:val="24"/>
          <w:szCs w:val="28"/>
          <w:highlight w:val="none"/>
          <w:lang w:val="en-US" w:eastAsia="zh-CN"/>
          <w14:textFill>
            <w14:solidFill>
              <w14:schemeClr w14:val="tx1"/>
            </w14:solidFill>
          </w14:textFill>
        </w:rPr>
        <w:t>2026670</w:t>
      </w:r>
      <w:r>
        <w:rPr>
          <w:rFonts w:hint="eastAsia" w:ascii="宋体" w:hAnsi="宋体" w:eastAsia="宋体" w:cs="宋体"/>
          <w:b/>
          <w:bCs/>
          <w:color w:val="000000" w:themeColor="text1"/>
          <w:sz w:val="24"/>
          <w:szCs w:val="28"/>
          <w:highlight w:val="none"/>
          <w14:textFill>
            <w14:solidFill>
              <w14:schemeClr w14:val="tx1"/>
            </w14:solidFill>
          </w14:textFill>
        </w:rPr>
        <w:t>号】</w:t>
      </w:r>
      <w:r>
        <w:rPr>
          <w:rFonts w:hint="eastAsia" w:ascii="宋体" w:hAnsi="宋体" w:cs="宋体"/>
          <w:b/>
          <w:bCs/>
          <w:color w:val="000000" w:themeColor="text1"/>
          <w:sz w:val="24"/>
          <w:szCs w:val="28"/>
          <w:highlight w:val="none"/>
          <w:lang w:eastAsia="zh-CN"/>
          <w14:textFill>
            <w14:solidFill>
              <w14:schemeClr w14:val="tx1"/>
            </w14:solidFill>
          </w14:textFill>
        </w:rPr>
        <w:t>叶县辛店镇人民政府叶县2026年辛店镇省、市派第一书记联村共建养殖场基地设备提升项目</w:t>
      </w:r>
      <w:r>
        <w:rPr>
          <w:rFonts w:hint="eastAsia" w:ascii="宋体" w:hAnsi="宋体" w:eastAsia="宋体" w:cs="宋体"/>
          <w:b/>
          <w:bCs/>
          <w:color w:val="000000" w:themeColor="text1"/>
          <w:sz w:val="24"/>
          <w:szCs w:val="28"/>
          <w:highlight w:val="none"/>
          <w14:textFill>
            <w14:solidFill>
              <w14:schemeClr w14:val="tx1"/>
            </w14:solidFill>
          </w14:textFill>
        </w:rPr>
        <w:t>公开招标公告</w:t>
      </w:r>
    </w:p>
    <w:p w14:paraId="7610AF66">
      <w:pPr>
        <w:spacing w:line="360" w:lineRule="auto"/>
        <w:ind w:firstLine="211" w:firstLineChars="1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项目概况</w:t>
      </w:r>
    </w:p>
    <w:p w14:paraId="780F50AA">
      <w:pPr>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叶县辛店镇人民政府叶县2026年辛店镇省、市派第一书记联村共建养殖场基地设备提升项目</w:t>
      </w:r>
      <w:r>
        <w:rPr>
          <w:rFonts w:hint="eastAsia" w:ascii="宋体" w:hAnsi="宋体" w:eastAsia="宋体" w:cs="宋体"/>
          <w:color w:val="000000" w:themeColor="text1"/>
          <w:highlight w:val="none"/>
          <w14:textFill>
            <w14:solidFill>
              <w14:schemeClr w14:val="tx1"/>
            </w14:solidFill>
          </w14:textFill>
        </w:rPr>
        <w:t>招标项目的潜在投标人应在《全国公共资源交易平台（河南省</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平顶山市）》</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"http://www.pdsggzy.com/）获取招标文件，并于2023年"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获取招标文件，并于202</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月</w:t>
      </w:r>
      <w:r>
        <w:rPr>
          <w:rFonts w:hint="eastAsia" w:ascii="宋体" w:hAnsi="宋体" w:cs="宋体"/>
          <w:color w:val="000000" w:themeColor="text1"/>
          <w:highlight w:val="none"/>
          <w:lang w:val="en-US" w:eastAsia="zh-CN"/>
          <w14:textFill>
            <w14:solidFill>
              <w14:schemeClr w14:val="tx1"/>
            </w14:solidFill>
          </w14:textFill>
        </w:rPr>
        <w:t>30</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日</w:t>
      </w:r>
      <w:r>
        <w:rPr>
          <w:rFonts w:hint="eastAsia" w:ascii="宋体" w:hAnsi="宋体" w:cs="宋体"/>
          <w:color w:val="000000" w:themeColor="text1"/>
          <w:highlight w:val="none"/>
          <w:lang w:val="en-US" w:eastAsia="zh-CN"/>
          <w14:textFill>
            <w14:solidFill>
              <w14:schemeClr w14:val="tx1"/>
            </w14:solidFill>
          </w14:textFill>
        </w:rPr>
        <w:t>9</w:t>
      </w:r>
      <w:r>
        <w:rPr>
          <w:rFonts w:hint="eastAsia" w:ascii="宋体" w:hAnsi="宋体" w:eastAsia="宋体" w:cs="宋体"/>
          <w:color w:val="000000" w:themeColor="text1"/>
          <w:highlight w:val="none"/>
          <w14:textFill>
            <w14:solidFill>
              <w14:schemeClr w14:val="tx1"/>
            </w14:solidFill>
          </w14:textFill>
        </w:rPr>
        <w:t>时</w:t>
      </w:r>
      <w:r>
        <w:rPr>
          <w:rFonts w:hint="eastAsia" w:ascii="宋体" w:hAnsi="宋体" w:cs="宋体"/>
          <w:color w:val="000000" w:themeColor="text1"/>
          <w:highlight w:val="none"/>
          <w:lang w:val="en-US" w:eastAsia="zh-CN"/>
          <w14:textFill>
            <w14:solidFill>
              <w14:schemeClr w14:val="tx1"/>
            </w14:solidFill>
          </w14:textFill>
        </w:rPr>
        <w:t>30</w:t>
      </w:r>
      <w:r>
        <w:rPr>
          <w:rFonts w:hint="eastAsia" w:ascii="宋体" w:hAnsi="宋体" w:eastAsia="宋体" w:cs="宋体"/>
          <w:color w:val="000000" w:themeColor="text1"/>
          <w:highlight w:val="none"/>
          <w14:textFill>
            <w14:solidFill>
              <w14:schemeClr w14:val="tx1"/>
            </w14:solidFill>
          </w14:textFill>
        </w:rPr>
        <w:t>分（北京时间）前递交投标文件。</w:t>
      </w:r>
    </w:p>
    <w:p w14:paraId="733BF85E">
      <w:pPr>
        <w:widowControl/>
        <w:spacing w:line="360" w:lineRule="auto"/>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一、项目基本情况</w:t>
      </w:r>
    </w:p>
    <w:p w14:paraId="582FA493">
      <w:pPr>
        <w:spacing w:line="360" w:lineRule="auto"/>
        <w:ind w:firstLine="424" w:firstLineChars="201"/>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1、项目编号：</w:t>
      </w:r>
      <w:r>
        <w:rPr>
          <w:rFonts w:hint="eastAsia" w:ascii="宋体" w:hAnsi="宋体" w:eastAsia="宋体" w:cs="宋体"/>
          <w:bCs/>
          <w:color w:val="000000" w:themeColor="text1"/>
          <w:szCs w:val="21"/>
          <w:highlight w:val="none"/>
          <w:lang w:eastAsia="zh-CN"/>
          <w14:textFill>
            <w14:solidFill>
              <w14:schemeClr w14:val="tx1"/>
            </w14:solidFill>
          </w14:textFill>
        </w:rPr>
        <w:t>叶财招标-2026-</w:t>
      </w:r>
      <w:r>
        <w:rPr>
          <w:rFonts w:hint="eastAsia" w:ascii="宋体" w:hAnsi="宋体" w:cs="宋体"/>
          <w:bCs/>
          <w:color w:val="000000" w:themeColor="text1"/>
          <w:szCs w:val="21"/>
          <w:highlight w:val="none"/>
          <w:lang w:val="en-US" w:eastAsia="zh-CN"/>
          <w14:textFill>
            <w14:solidFill>
              <w14:schemeClr w14:val="tx1"/>
            </w14:solidFill>
          </w14:textFill>
        </w:rPr>
        <w:t>35</w:t>
      </w:r>
    </w:p>
    <w:p w14:paraId="2DA3E04E">
      <w:pPr>
        <w:spacing w:line="360" w:lineRule="auto"/>
        <w:ind w:firstLine="424" w:firstLineChars="201"/>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2、项目名称：</w:t>
      </w:r>
      <w:r>
        <w:rPr>
          <w:rFonts w:hint="eastAsia" w:ascii="宋体" w:hAnsi="宋体" w:cs="宋体"/>
          <w:color w:val="000000" w:themeColor="text1"/>
          <w:szCs w:val="21"/>
          <w:highlight w:val="none"/>
          <w:lang w:eastAsia="zh-CN"/>
          <w14:textFill>
            <w14:solidFill>
              <w14:schemeClr w14:val="tx1"/>
            </w14:solidFill>
          </w14:textFill>
        </w:rPr>
        <w:t>叶县辛店镇人民政府叶县2026年辛店镇省、市派第一书记联村共建养殖场基地设备提升项目</w:t>
      </w:r>
    </w:p>
    <w:p w14:paraId="55DB3F66">
      <w:pPr>
        <w:spacing w:line="360" w:lineRule="auto"/>
        <w:ind w:firstLine="424" w:firstLineChars="201"/>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3、采购方式：</w:t>
      </w:r>
      <w:r>
        <w:rPr>
          <w:rFonts w:hint="eastAsia" w:ascii="宋体" w:hAnsi="宋体" w:eastAsia="宋体" w:cs="宋体"/>
          <w:color w:val="000000" w:themeColor="text1"/>
          <w:szCs w:val="21"/>
          <w:highlight w:val="none"/>
          <w14:textFill>
            <w14:solidFill>
              <w14:schemeClr w14:val="tx1"/>
            </w14:solidFill>
          </w14:textFill>
        </w:rPr>
        <w:t>公开招标</w:t>
      </w:r>
    </w:p>
    <w:p w14:paraId="5F58C120">
      <w:pPr>
        <w:spacing w:line="360" w:lineRule="auto"/>
        <w:ind w:firstLine="424" w:firstLineChars="201"/>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4、预算金额：</w:t>
      </w:r>
      <w:r>
        <w:rPr>
          <w:rFonts w:hint="eastAsia" w:ascii="宋体" w:hAnsi="宋体" w:eastAsia="宋体" w:cs="宋体"/>
          <w:color w:val="000000" w:themeColor="text1"/>
          <w:szCs w:val="21"/>
          <w:highlight w:val="none"/>
          <w:lang w:val="en-US" w:eastAsia="zh-CN"/>
          <w14:textFill>
            <w14:solidFill>
              <w14:schemeClr w14:val="tx1"/>
            </w14:solidFill>
          </w14:textFill>
        </w:rPr>
        <w:t>2100000</w:t>
      </w:r>
      <w:r>
        <w:rPr>
          <w:rFonts w:hint="eastAsia" w:ascii="宋体" w:hAnsi="宋体" w:eastAsia="宋体" w:cs="宋体"/>
          <w:color w:val="000000" w:themeColor="text1"/>
          <w:szCs w:val="21"/>
          <w:highlight w:val="none"/>
          <w:lang w:eastAsia="zh-CN"/>
          <w14:textFill>
            <w14:solidFill>
              <w14:schemeClr w14:val="tx1"/>
            </w14:solidFill>
          </w14:textFill>
        </w:rPr>
        <w:t>.00</w:t>
      </w:r>
      <w:r>
        <w:rPr>
          <w:rFonts w:hint="eastAsia" w:ascii="宋体" w:hAnsi="宋体" w:eastAsia="宋体" w:cs="宋体"/>
          <w:color w:val="000000" w:themeColor="text1"/>
          <w:szCs w:val="21"/>
          <w:highlight w:val="none"/>
          <w14:textFill>
            <w14:solidFill>
              <w14:schemeClr w14:val="tx1"/>
            </w14:solidFill>
          </w14:textFill>
        </w:rPr>
        <w:t>元</w:t>
      </w:r>
    </w:p>
    <w:p w14:paraId="43911F2F">
      <w:pPr>
        <w:spacing w:line="360" w:lineRule="auto"/>
        <w:ind w:firstLine="843" w:firstLineChars="4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最高限价：</w:t>
      </w:r>
      <w:r>
        <w:rPr>
          <w:rFonts w:hint="eastAsia" w:ascii="宋体" w:hAnsi="宋体" w:eastAsia="宋体" w:cs="宋体"/>
          <w:color w:val="000000" w:themeColor="text1"/>
          <w:szCs w:val="21"/>
          <w:highlight w:val="none"/>
          <w:lang w:val="en-US" w:eastAsia="zh-CN"/>
          <w14:textFill>
            <w14:solidFill>
              <w14:schemeClr w14:val="tx1"/>
            </w14:solidFill>
          </w14:textFill>
        </w:rPr>
        <w:t>2100000</w:t>
      </w:r>
      <w:r>
        <w:rPr>
          <w:rFonts w:hint="eastAsia" w:ascii="宋体" w:hAnsi="宋体" w:eastAsia="宋体" w:cs="宋体"/>
          <w:color w:val="000000" w:themeColor="text1"/>
          <w:szCs w:val="21"/>
          <w:highlight w:val="none"/>
          <w:lang w:eastAsia="zh-CN"/>
          <w14:textFill>
            <w14:solidFill>
              <w14:schemeClr w14:val="tx1"/>
            </w14:solidFill>
          </w14:textFill>
        </w:rPr>
        <w:t>.00</w:t>
      </w:r>
      <w:r>
        <w:rPr>
          <w:rFonts w:hint="eastAsia" w:ascii="宋体" w:hAnsi="宋体" w:eastAsia="宋体" w:cs="宋体"/>
          <w:color w:val="000000" w:themeColor="text1"/>
          <w:szCs w:val="21"/>
          <w:highlight w:val="none"/>
          <w14:textFill>
            <w14:solidFill>
              <w14:schemeClr w14:val="tx1"/>
            </w14:solidFill>
          </w14:textFill>
        </w:rPr>
        <w:t>元</w:t>
      </w:r>
    </w:p>
    <w:tbl>
      <w:tblPr>
        <w:tblStyle w:val="18"/>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1820"/>
        <w:gridCol w:w="2441"/>
        <w:gridCol w:w="1717"/>
        <w:gridCol w:w="2301"/>
      </w:tblGrid>
      <w:tr w14:paraId="1EC8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777" w:type="dxa"/>
            <w:noWrap w:val="0"/>
            <w:vAlign w:val="center"/>
          </w:tcPr>
          <w:p w14:paraId="4C73D92F">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序号</w:t>
            </w:r>
          </w:p>
        </w:tc>
        <w:tc>
          <w:tcPr>
            <w:tcW w:w="1820" w:type="dxa"/>
            <w:noWrap w:val="0"/>
            <w:vAlign w:val="center"/>
          </w:tcPr>
          <w:p w14:paraId="7B61FE49">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包号</w:t>
            </w:r>
          </w:p>
        </w:tc>
        <w:tc>
          <w:tcPr>
            <w:tcW w:w="2441" w:type="dxa"/>
            <w:noWrap w:val="0"/>
            <w:vAlign w:val="center"/>
          </w:tcPr>
          <w:p w14:paraId="4060876D">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包名称</w:t>
            </w:r>
          </w:p>
        </w:tc>
        <w:tc>
          <w:tcPr>
            <w:tcW w:w="1717" w:type="dxa"/>
            <w:noWrap w:val="0"/>
            <w:vAlign w:val="center"/>
          </w:tcPr>
          <w:p w14:paraId="02513F46">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包预算（元）</w:t>
            </w:r>
          </w:p>
        </w:tc>
        <w:tc>
          <w:tcPr>
            <w:tcW w:w="2301" w:type="dxa"/>
            <w:noWrap w:val="0"/>
            <w:vAlign w:val="center"/>
          </w:tcPr>
          <w:p w14:paraId="566233DC">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包最高限价（元）</w:t>
            </w:r>
          </w:p>
        </w:tc>
      </w:tr>
      <w:tr w14:paraId="4115E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1" w:hRule="atLeast"/>
          <w:jc w:val="center"/>
        </w:trPr>
        <w:tc>
          <w:tcPr>
            <w:tcW w:w="777" w:type="dxa"/>
            <w:noWrap w:val="0"/>
            <w:vAlign w:val="center"/>
          </w:tcPr>
          <w:p w14:paraId="6EC94C3E">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1820" w:type="dxa"/>
            <w:noWrap w:val="0"/>
            <w:vAlign w:val="center"/>
          </w:tcPr>
          <w:p w14:paraId="0AEE2B06">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平公资采</w:t>
            </w:r>
            <w:r>
              <w:rPr>
                <w:rFonts w:hint="eastAsia" w:ascii="宋体" w:hAnsi="宋体" w:cs="宋体"/>
                <w:color w:val="000000" w:themeColor="text1"/>
                <w:szCs w:val="21"/>
                <w:highlight w:val="none"/>
                <w:lang w:val="en-US" w:eastAsia="zh-CN"/>
                <w14:textFill>
                  <w14:solidFill>
                    <w14:schemeClr w14:val="tx1"/>
                  </w14:solidFill>
                </w14:textFill>
              </w:rPr>
              <w:t>2026670</w:t>
            </w:r>
            <w:r>
              <w:rPr>
                <w:rFonts w:hint="eastAsia" w:ascii="宋体" w:hAnsi="宋体" w:eastAsia="宋体" w:cs="宋体"/>
                <w:color w:val="000000" w:themeColor="text1"/>
                <w:szCs w:val="21"/>
                <w:highlight w:val="none"/>
                <w14:textFill>
                  <w14:solidFill>
                    <w14:schemeClr w14:val="tx1"/>
                  </w14:solidFill>
                </w14:textFill>
              </w:rPr>
              <w:t>号-1</w:t>
            </w:r>
          </w:p>
        </w:tc>
        <w:tc>
          <w:tcPr>
            <w:tcW w:w="2441" w:type="dxa"/>
            <w:noWrap w:val="0"/>
            <w:vAlign w:val="center"/>
          </w:tcPr>
          <w:p w14:paraId="1330567E">
            <w:pPr>
              <w:spacing w:line="36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叶县辛店镇人民政府叶县2026年辛店镇省、市派第一书记联村共建养殖场基地设备提升项目</w:t>
            </w:r>
          </w:p>
        </w:tc>
        <w:tc>
          <w:tcPr>
            <w:tcW w:w="1717" w:type="dxa"/>
            <w:noWrap w:val="0"/>
            <w:vAlign w:val="center"/>
          </w:tcPr>
          <w:p w14:paraId="26D3FEDC">
            <w:pPr>
              <w:spacing w:line="36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2100000.00</w:t>
            </w:r>
          </w:p>
        </w:tc>
        <w:tc>
          <w:tcPr>
            <w:tcW w:w="2301" w:type="dxa"/>
            <w:noWrap w:val="0"/>
            <w:vAlign w:val="center"/>
          </w:tcPr>
          <w:p w14:paraId="3B599F52">
            <w:pPr>
              <w:spacing w:line="36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2100000.00</w:t>
            </w:r>
          </w:p>
        </w:tc>
      </w:tr>
    </w:tbl>
    <w:p w14:paraId="0B2938EA">
      <w:pPr>
        <w:spacing w:line="360" w:lineRule="auto"/>
        <w:ind w:firstLine="422" w:firstLineChars="201"/>
        <w:rPr>
          <w:rFonts w:hint="eastAsia" w:ascii="宋体" w:hAnsi="宋体" w:eastAsia="宋体" w:cs="宋体"/>
          <w:color w:val="000000" w:themeColor="text1"/>
          <w:highlight w:val="none"/>
          <w14:textFill>
            <w14:solidFill>
              <w14:schemeClr w14:val="tx1"/>
            </w14:solidFill>
          </w14:textFill>
        </w:rPr>
      </w:pPr>
    </w:p>
    <w:p w14:paraId="45F99396">
      <w:pPr>
        <w:spacing w:line="360" w:lineRule="auto"/>
        <w:ind w:firstLine="424" w:firstLineChars="201"/>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5、采购需求：（包括但不限于标的的名称、数量、简要技术需求或服务要求等）</w:t>
      </w:r>
    </w:p>
    <w:p w14:paraId="3482FE64">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（1）采购内容：</w:t>
      </w:r>
      <w:r>
        <w:rPr>
          <w:rFonts w:hint="eastAsia" w:ascii="宋体" w:hAnsi="宋体" w:eastAsia="宋体" w:cs="宋体"/>
          <w:color w:val="000000" w:themeColor="text1"/>
          <w:szCs w:val="21"/>
          <w:highlight w:val="none"/>
          <w:lang w:eastAsia="zh-CN"/>
          <w14:textFill>
            <w14:solidFill>
              <w14:schemeClr w14:val="tx1"/>
            </w14:solidFill>
          </w14:textFill>
        </w:rPr>
        <w:t>叶县2026年辛店镇养殖场基地设备提升项目</w:t>
      </w:r>
      <w:r>
        <w:rPr>
          <w:rFonts w:hint="eastAsia" w:ascii="宋体" w:hAnsi="宋体" w:eastAsia="宋体" w:cs="宋体"/>
          <w:color w:val="000000" w:themeColor="text1"/>
          <w:szCs w:val="21"/>
          <w:highlight w:val="none"/>
          <w14:textFill>
            <w14:solidFill>
              <w14:schemeClr w14:val="tx1"/>
            </w14:solidFill>
          </w14:textFill>
        </w:rPr>
        <w:t>，具体内容及要求详见招标文件。</w:t>
      </w:r>
    </w:p>
    <w:p w14:paraId="69129D61">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（2）标包划分：本项目共划分一个包段；</w:t>
      </w:r>
    </w:p>
    <w:p w14:paraId="32BB9E06">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（3）质量要求：符合国家及行业相关规范和标准</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满足采购人要求</w:t>
      </w:r>
      <w:r>
        <w:rPr>
          <w:rFonts w:hint="eastAsia" w:ascii="宋体" w:hAnsi="宋体" w:eastAsia="宋体" w:cs="宋体"/>
          <w:color w:val="000000" w:themeColor="text1"/>
          <w:szCs w:val="21"/>
          <w:highlight w:val="none"/>
          <w14:textFill>
            <w14:solidFill>
              <w14:schemeClr w14:val="tx1"/>
            </w14:solidFill>
          </w14:textFill>
        </w:rPr>
        <w:t>；</w:t>
      </w:r>
    </w:p>
    <w:p w14:paraId="177AE4A6">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（4）交货及安装期：</w:t>
      </w:r>
      <w:r>
        <w:rPr>
          <w:rFonts w:hint="eastAsia" w:ascii="宋体" w:hAnsi="宋体" w:eastAsia="宋体" w:cs="宋体"/>
          <w:color w:val="000000" w:themeColor="text1"/>
          <w:szCs w:val="21"/>
          <w:highlight w:val="none"/>
          <w:lang w:val="en-US" w:eastAsia="zh-CN"/>
          <w14:textFill>
            <w14:solidFill>
              <w14:schemeClr w14:val="tx1"/>
            </w14:solidFill>
          </w14:textFill>
        </w:rPr>
        <w:t>60</w:t>
      </w:r>
      <w:r>
        <w:rPr>
          <w:rFonts w:hint="eastAsia" w:ascii="宋体" w:hAnsi="宋体" w:eastAsia="宋体" w:cs="宋体"/>
          <w:color w:val="000000" w:themeColor="text1"/>
          <w:szCs w:val="21"/>
          <w:highlight w:val="none"/>
          <w14:textFill>
            <w14:solidFill>
              <w14:schemeClr w14:val="tx1"/>
            </w14:solidFill>
          </w14:textFill>
        </w:rPr>
        <w:t>日历天内供货、安装、调试完毕；</w:t>
      </w:r>
    </w:p>
    <w:p w14:paraId="5BFB56E0">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（5）质保期：</w:t>
      </w: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年；</w:t>
      </w:r>
    </w:p>
    <w:p w14:paraId="7CE4553A">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（6）交货及安装地点:采购人指定地点。</w:t>
      </w:r>
    </w:p>
    <w:p w14:paraId="161B5372">
      <w:pPr>
        <w:adjustRightInd w:val="0"/>
        <w:snapToGrid w:val="0"/>
        <w:spacing w:line="360" w:lineRule="auto"/>
        <w:ind w:right="-317" w:rightChars="-151" w:firstLine="424" w:firstLineChars="201"/>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6、合同履行期限：</w:t>
      </w:r>
      <w:r>
        <w:rPr>
          <w:rFonts w:hint="eastAsia" w:ascii="宋体" w:hAnsi="宋体" w:eastAsia="宋体" w:cs="宋体"/>
          <w:b/>
          <w:color w:val="000000" w:themeColor="text1"/>
          <w:kern w:val="0"/>
          <w:szCs w:val="21"/>
          <w:highlight w:val="none"/>
          <w:lang w:val="en-US" w:eastAsia="zh-CN"/>
          <w14:textFill>
            <w14:solidFill>
              <w14:schemeClr w14:val="tx1"/>
            </w14:solidFill>
          </w14:textFill>
        </w:rPr>
        <w:t>60</w:t>
      </w:r>
      <w:r>
        <w:rPr>
          <w:rFonts w:hint="eastAsia" w:ascii="宋体" w:hAnsi="宋体" w:eastAsia="宋体" w:cs="宋体"/>
          <w:b/>
          <w:color w:val="000000" w:themeColor="text1"/>
          <w:kern w:val="0"/>
          <w:szCs w:val="21"/>
          <w:highlight w:val="none"/>
          <w14:textFill>
            <w14:solidFill>
              <w14:schemeClr w14:val="tx1"/>
            </w14:solidFill>
          </w14:textFill>
        </w:rPr>
        <w:t>日历天</w:t>
      </w:r>
      <w:r>
        <w:rPr>
          <w:rFonts w:hint="eastAsia" w:ascii="宋体" w:hAnsi="宋体" w:eastAsia="宋体" w:cs="宋体"/>
          <w:color w:val="000000" w:themeColor="text1"/>
          <w:kern w:val="0"/>
          <w:szCs w:val="21"/>
          <w:highlight w:val="none"/>
          <w14:textFill>
            <w14:solidFill>
              <w14:schemeClr w14:val="tx1"/>
            </w14:solidFill>
          </w14:textFill>
        </w:rPr>
        <w:t>。</w:t>
      </w:r>
    </w:p>
    <w:p w14:paraId="2A2EF90B">
      <w:pPr>
        <w:adjustRightInd w:val="0"/>
        <w:snapToGrid w:val="0"/>
        <w:spacing w:line="360" w:lineRule="auto"/>
        <w:ind w:right="-317" w:rightChars="-151" w:firstLine="424" w:firstLineChars="201"/>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7、本项目是否接受联合体投标：</w:t>
      </w:r>
      <w:r>
        <w:rPr>
          <w:rFonts w:hint="eastAsia" w:ascii="宋体" w:hAnsi="宋体" w:eastAsia="宋体" w:cs="宋体"/>
          <w:color w:val="000000" w:themeColor="text1"/>
          <w:kern w:val="0"/>
          <w:szCs w:val="21"/>
          <w:highlight w:val="none"/>
          <w14:textFill>
            <w14:solidFill>
              <w14:schemeClr w14:val="tx1"/>
            </w14:solidFill>
          </w14:textFill>
        </w:rPr>
        <w:t>否</w:t>
      </w:r>
    </w:p>
    <w:p w14:paraId="66B2C936">
      <w:pPr>
        <w:adjustRightInd w:val="0"/>
        <w:snapToGrid w:val="0"/>
        <w:spacing w:line="360" w:lineRule="auto"/>
        <w:ind w:right="-317" w:rightChars="-151" w:firstLine="424" w:firstLineChars="201"/>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8、是否接受进口产品：</w:t>
      </w:r>
      <w:r>
        <w:rPr>
          <w:rFonts w:hint="eastAsia" w:ascii="宋体" w:hAnsi="宋体" w:eastAsia="宋体" w:cs="宋体"/>
          <w:color w:val="000000" w:themeColor="text1"/>
          <w:kern w:val="0"/>
          <w:szCs w:val="21"/>
          <w:highlight w:val="none"/>
          <w14:textFill>
            <w14:solidFill>
              <w14:schemeClr w14:val="tx1"/>
            </w14:solidFill>
          </w14:textFill>
        </w:rPr>
        <w:t>否</w:t>
      </w:r>
    </w:p>
    <w:p w14:paraId="18078FA9">
      <w:pPr>
        <w:spacing w:line="360" w:lineRule="auto"/>
        <w:ind w:firstLine="424" w:firstLineChars="201"/>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9、是否专门面向中小企业：</w:t>
      </w:r>
      <w:r>
        <w:rPr>
          <w:rFonts w:hint="eastAsia" w:ascii="宋体" w:hAnsi="宋体" w:eastAsia="宋体" w:cs="宋体"/>
          <w:color w:val="000000" w:themeColor="text1"/>
          <w:highlight w:val="none"/>
          <w14:textFill>
            <w14:solidFill>
              <w14:schemeClr w14:val="tx1"/>
            </w14:solidFill>
          </w14:textFill>
        </w:rPr>
        <w:t>否</w:t>
      </w:r>
    </w:p>
    <w:p w14:paraId="1CB46BE9">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二、申请人资格要求：</w:t>
      </w:r>
    </w:p>
    <w:p w14:paraId="64CE9458">
      <w:pPr>
        <w:spacing w:line="360" w:lineRule="auto"/>
        <w:ind w:firstLine="210" w:firstLineChars="1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1、满足《中华人民共和国政府采购法》第二十二条规定；</w:t>
      </w:r>
    </w:p>
    <w:p w14:paraId="29706641">
      <w:pPr>
        <w:spacing w:line="360" w:lineRule="auto"/>
        <w:ind w:firstLine="210" w:firstLineChars="1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2、落实政府采购政策满足的资格要求：</w:t>
      </w: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w:t>
      </w:r>
    </w:p>
    <w:p w14:paraId="6753CEFF">
      <w:pPr>
        <w:spacing w:line="360" w:lineRule="auto"/>
        <w:ind w:firstLine="210" w:firstLineChars="1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3、本项目的特定资格要求：</w:t>
      </w:r>
      <w:bookmarkStart w:id="37" w:name="_Toc358534849"/>
      <w:bookmarkStart w:id="38" w:name="_Toc358202146"/>
      <w:bookmarkStart w:id="39" w:name="_Toc358534657"/>
      <w:bookmarkStart w:id="40" w:name="_Toc358563805"/>
      <w:bookmarkStart w:id="41" w:name="_Toc358534729"/>
    </w:p>
    <w:p w14:paraId="0B1EA7CF">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3.1供应商具有独立法人资格，持有有效的营业执照(或电子营业执照)；</w:t>
      </w:r>
    </w:p>
    <w:p w14:paraId="3EBA7BC9">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投标人只需提供叶县政府采购供应商信用承诺书（格式详见采购文件），不再需要提供以下证明材料：</w:t>
      </w:r>
    </w:p>
    <w:p w14:paraId="460E51EF">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①具有良好的商业信誉的证明材料：</w:t>
      </w:r>
    </w:p>
    <w:p w14:paraId="48BA97C3">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②符合国家相关规定的财务状况报告：</w:t>
      </w:r>
    </w:p>
    <w:p w14:paraId="2661E2A7">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③具备履行政府采购合同所必需的设备和专业技术能力的证明材料：</w:t>
      </w:r>
    </w:p>
    <w:p w14:paraId="5B5C33D7">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④依法缴纳税收和社会保障资金的证明材料：</w:t>
      </w:r>
    </w:p>
    <w:p w14:paraId="57DE7CDD">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⑤参加政府采购活动前三年内在经营活动中没有重大违法记录的证明材料：</w:t>
      </w:r>
    </w:p>
    <w:p w14:paraId="5F4E5C64">
      <w:pPr>
        <w:spacing w:line="360" w:lineRule="auto"/>
        <w:ind w:firstLine="424" w:firstLineChars="202"/>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3.3提供“中国执行信息公开网”网站的“失信被执行人”、“信用中国”网站的“重大税收违法失信主体”和“中国政府采购”网站的“政府采购严重违法失信行为记录名单”查询结果页面截图，不得有不良记录（执行财库【2016】125号文）</w:t>
      </w:r>
    </w:p>
    <w:p w14:paraId="3F3B744F">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单位负责人为同一人或者存在直接控股、管理关系的不同投标人，不得参加同一合同项下的政府采购活动（</w:t>
      </w:r>
      <w:r>
        <w:rPr>
          <w:rFonts w:hint="eastAsia" w:ascii="宋体" w:hAnsi="宋体" w:eastAsia="宋体" w:cs="宋体"/>
          <w:color w:val="000000" w:themeColor="text1"/>
          <w:szCs w:val="21"/>
          <w:highlight w:val="none"/>
          <w:lang w:val="en-US" w:eastAsia="zh-CN"/>
          <w14:textFill>
            <w14:solidFill>
              <w14:schemeClr w14:val="tx1"/>
            </w14:solidFill>
          </w14:textFill>
        </w:rPr>
        <w:t>提供承诺函，格式自拟</w:t>
      </w:r>
      <w:r>
        <w:rPr>
          <w:rFonts w:hint="eastAsia" w:ascii="宋体" w:hAnsi="宋体" w:eastAsia="宋体" w:cs="宋体"/>
          <w:color w:val="000000" w:themeColor="text1"/>
          <w:szCs w:val="21"/>
          <w:highlight w:val="none"/>
          <w14:textFill>
            <w14:solidFill>
              <w14:schemeClr w14:val="tx1"/>
            </w14:solidFill>
          </w14:textFill>
        </w:rPr>
        <w:t>）；</w:t>
      </w:r>
    </w:p>
    <w:p w14:paraId="14E40F7D">
      <w:pPr>
        <w:spacing w:line="360" w:lineRule="auto"/>
        <w:ind w:firstLine="424" w:firstLineChars="202"/>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lang w:val="zh-CN"/>
          <w14:textFill>
            <w14:solidFill>
              <w14:schemeClr w14:val="tx1"/>
            </w14:solidFill>
          </w14:textFill>
        </w:rPr>
        <w:t>本次招标不接受联合体投标，采用资格后审。</w:t>
      </w:r>
    </w:p>
    <w:p w14:paraId="08828125">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注：（1）如供应商为新成立企业，可提供注册后的相关证明材料。（2）投标人须保证投标期间提供的所有资料真实有效，并愿意承担因提供虚假资料引起的一切不良后果（提供加盖公章的承诺书）。</w:t>
      </w:r>
    </w:p>
    <w:p w14:paraId="1FA9A601">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三、获取招标文件</w:t>
      </w:r>
    </w:p>
    <w:p w14:paraId="6AA36127">
      <w:pPr>
        <w:adjustRightInd w:val="0"/>
        <w:snapToGrid w:val="0"/>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1、时间：202</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eastAsia="宋体" w:cs="宋体"/>
          <w:color w:val="000000" w:themeColor="text1"/>
          <w:szCs w:val="21"/>
          <w:highlight w:val="none"/>
          <w14:textFill>
            <w14:solidFill>
              <w14:schemeClr w14:val="tx1"/>
            </w14:solidFill>
          </w14:textFill>
        </w:rPr>
        <w:t>日至202</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29</w:t>
      </w:r>
      <w:r>
        <w:rPr>
          <w:rFonts w:hint="eastAsia" w:ascii="宋体" w:hAnsi="宋体" w:eastAsia="宋体" w:cs="宋体"/>
          <w:color w:val="000000" w:themeColor="text1"/>
          <w:szCs w:val="21"/>
          <w:highlight w:val="none"/>
          <w14:textFill>
            <w14:solidFill>
              <w14:schemeClr w14:val="tx1"/>
            </w14:solidFill>
          </w14:textFill>
        </w:rPr>
        <w:t>日，每天上午00:00至12:00，下午12:00至23:59（北京时间，法定节假日除外。）</w:t>
      </w:r>
    </w:p>
    <w:p w14:paraId="3AF8811A">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2、地点：《全国公共资源交易平台（河南省·平顶山市）》(http://ggzy.pds.gov.cn)</w:t>
      </w:r>
    </w:p>
    <w:p w14:paraId="04664AA8">
      <w:pPr>
        <w:widowControl/>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3、方式：潜在投标人需凭CA数字证书通过全国公共资源交易平台（河南省·平顶山市）（网址：</w:t>
      </w: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"http://www.pdsggzy.com/"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http://ggzy.pds.gov.cn</w:t>
      </w:r>
      <w:r>
        <w:rPr>
          <w:rFonts w:hint="eastAsia" w:ascii="宋体" w:hAnsi="宋体" w:eastAsia="宋体" w:cs="宋体"/>
          <w:color w:val="000000" w:themeColor="text1"/>
          <w:szCs w:val="2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t>）“交易主体登录”入口进入交易系统进行文件下载。具体操作请查看以下链接：</w:t>
      </w:r>
    </w:p>
    <w:p w14:paraId="156AC136">
      <w:pPr>
        <w:widowControl/>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链接地址：</w:t>
      </w: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"http://www.pdsggzy.com/fwzn/11020.jhtml"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http://ggzy.pds.gov.cn/fwzn/11020.jhtml</w:t>
      </w:r>
      <w:r>
        <w:rPr>
          <w:rFonts w:hint="eastAsia" w:ascii="宋体" w:hAnsi="宋体" w:eastAsia="宋体" w:cs="宋体"/>
          <w:color w:val="000000" w:themeColor="text1"/>
          <w:szCs w:val="21"/>
          <w:highlight w:val="none"/>
          <w14:textFill>
            <w14:solidFill>
              <w14:schemeClr w14:val="tx1"/>
            </w14:solidFill>
          </w14:textFill>
        </w:rPr>
        <w:fldChar w:fldCharType="end"/>
      </w:r>
    </w:p>
    <w:p w14:paraId="3C1497FF">
      <w:pPr>
        <w:widowControl/>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办理CA证书：</w:t>
      </w: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"http://www.pdsggzy.com/tzgg/10814.jhtml"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http://ggzy.pds.gov.cn/tzgg/10814.jhtml</w:t>
      </w:r>
      <w:r>
        <w:rPr>
          <w:rFonts w:hint="eastAsia" w:ascii="宋体" w:hAnsi="宋体" w:eastAsia="宋体" w:cs="宋体"/>
          <w:color w:val="000000" w:themeColor="text1"/>
          <w:szCs w:val="21"/>
          <w:highlight w:val="none"/>
          <w14:textFill>
            <w14:solidFill>
              <w14:schemeClr w14:val="tx1"/>
            </w14:solidFill>
          </w14:textFill>
        </w:rPr>
        <w:fldChar w:fldCharType="end"/>
      </w:r>
    </w:p>
    <w:p w14:paraId="7CFEE1DD">
      <w:pPr>
        <w:widowControl/>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4、售价：0元。</w:t>
      </w:r>
    </w:p>
    <w:p w14:paraId="211CA15A">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四、投标截止时间及地点</w:t>
      </w:r>
    </w:p>
    <w:bookmarkEnd w:id="37"/>
    <w:bookmarkEnd w:id="38"/>
    <w:bookmarkEnd w:id="39"/>
    <w:bookmarkEnd w:id="40"/>
    <w:bookmarkEnd w:id="41"/>
    <w:p w14:paraId="2E9BB3F3">
      <w:pPr>
        <w:widowControl/>
        <w:spacing w:line="360" w:lineRule="auto"/>
        <w:ind w:firstLine="424" w:firstLineChars="202"/>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1、时间：202</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30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eastAsia="宋体" w:cs="宋体"/>
          <w:color w:val="000000" w:themeColor="text1"/>
          <w:szCs w:val="21"/>
          <w:highlight w:val="none"/>
          <w14:textFill>
            <w14:solidFill>
              <w14:schemeClr w14:val="tx1"/>
            </w14:solidFill>
          </w14:textFill>
        </w:rPr>
        <w:t>时</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30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分（北京时间）</w:t>
      </w:r>
    </w:p>
    <w:p w14:paraId="2A81352D">
      <w:pPr>
        <w:spacing w:line="360" w:lineRule="auto"/>
        <w:ind w:right="-283" w:rightChars="-135"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2、地点：</w:t>
      </w:r>
      <w:r>
        <w:rPr>
          <w:rFonts w:hint="eastAsia" w:ascii="宋体" w:hAnsi="宋体" w:eastAsia="宋体" w:cs="宋体"/>
          <w:color w:val="000000" w:themeColor="text1"/>
          <w:highlight w:val="none"/>
          <w14:textFill>
            <w14:solidFill>
              <w14:schemeClr w14:val="tx1"/>
            </w14:solidFill>
          </w14:textFill>
        </w:rPr>
        <w:t>《全国公共资源交易平台（河南省</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平顶山市）》</w:t>
      </w:r>
      <w:r>
        <w:rPr>
          <w:rFonts w:hint="eastAsia" w:ascii="宋体" w:hAnsi="宋体" w:eastAsia="宋体" w:cs="宋体"/>
          <w:color w:val="000000" w:themeColor="text1"/>
          <w:szCs w:val="21"/>
          <w:highlight w:val="none"/>
          <w14:textFill>
            <w14:solidFill>
              <w14:schemeClr w14:val="tx1"/>
            </w14:solidFill>
          </w14:textFill>
        </w:rPr>
        <w:t>公共资源交易系统</w:t>
      </w:r>
    </w:p>
    <w:p w14:paraId="464FB134">
      <w:pPr>
        <w:spacing w:line="360" w:lineRule="auto"/>
        <w:ind w:right="-283" w:rightChars="-13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五、开标时间及地点</w:t>
      </w:r>
    </w:p>
    <w:p w14:paraId="601B8C28">
      <w:pPr>
        <w:widowControl/>
        <w:spacing w:line="360" w:lineRule="auto"/>
        <w:ind w:firstLine="424" w:firstLineChars="202"/>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1、时间：202</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30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eastAsia="宋体" w:cs="宋体"/>
          <w:color w:val="000000" w:themeColor="text1"/>
          <w:szCs w:val="21"/>
          <w:highlight w:val="none"/>
          <w14:textFill>
            <w14:solidFill>
              <w14:schemeClr w14:val="tx1"/>
            </w14:solidFill>
          </w14:textFill>
        </w:rPr>
        <w:t>时</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30</w:t>
      </w:r>
      <w:r>
        <w:rPr>
          <w:rFonts w:hint="eastAsia" w:ascii="宋体" w:hAnsi="宋体" w:eastAsia="宋体" w:cs="宋体"/>
          <w:color w:val="000000" w:themeColor="text1"/>
          <w:szCs w:val="21"/>
          <w:highlight w:val="none"/>
          <w14:textFill>
            <w14:solidFill>
              <w14:schemeClr w14:val="tx1"/>
            </w14:solidFill>
          </w14:textFill>
        </w:rPr>
        <w:t>分（北京时间）</w:t>
      </w:r>
    </w:p>
    <w:p w14:paraId="3555BA57">
      <w:pPr>
        <w:spacing w:line="360" w:lineRule="auto"/>
        <w:ind w:right="-283" w:rightChars="-135"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2、地点：《全国公共资源交易平台(河南省·平顶山市)》公共资源交易系统</w:t>
      </w:r>
    </w:p>
    <w:p w14:paraId="35AEB43E">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六、发布公告的媒介及招标公告期限</w:t>
      </w:r>
    </w:p>
    <w:p w14:paraId="23BC85E3">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本次公告在《河南省政府采购网》、《平顶山市政府采购网》、《叶县政府采购网》、《全国公共资源交易平台（河南省•平顶山市）》上发布，招标公告期限为五个工作日。</w:t>
      </w:r>
    </w:p>
    <w:p w14:paraId="1CE7D528">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七、其他补充事宜</w:t>
      </w:r>
    </w:p>
    <w:p w14:paraId="5EF8F8A6">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bookmarkStart w:id="42" w:name="_Toc358202147"/>
      <w:bookmarkStart w:id="43" w:name="_Toc358534730"/>
      <w:bookmarkStart w:id="44" w:name="_Toc358534658"/>
      <w:bookmarkStart w:id="45" w:name="_Toc358534850"/>
      <w:bookmarkStart w:id="46" w:name="_Toc358563806"/>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zh-CN"/>
          <w14:textFill>
            <w14:solidFill>
              <w14:schemeClr w14:val="tx1"/>
            </w14:solidFill>
          </w14:textFill>
        </w:rPr>
        <w:t>平顶山市公共资源交易中心全面实行在线“不见面”开标，投标人远程在线解密投标文件，不再到开标现场，投标人开标前应仔细阅读《“不见面”开标注意事项及操作流程》。</w:t>
      </w:r>
    </w:p>
    <w:p w14:paraId="0DF9D67F">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投标人或其他利害关系人对本次招标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48B81D77">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监督单位：叶县财政局</w:t>
      </w:r>
    </w:p>
    <w:p w14:paraId="793466A7">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统一信用代码：1141042200548215XM</w:t>
      </w:r>
    </w:p>
    <w:p w14:paraId="55E9F3BD">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联系电话：0375-2316208</w:t>
      </w:r>
    </w:p>
    <w:p w14:paraId="278ACB34">
      <w:pPr>
        <w:spacing w:line="360" w:lineRule="auto"/>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、该公告已同步至“平顶山市公共资源交易中心微信公众号”，可通过公众号中的服务栏目进行查阅”。</w:t>
      </w:r>
    </w:p>
    <w:p w14:paraId="2120C324">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八、</w:t>
      </w:r>
      <w:bookmarkEnd w:id="42"/>
      <w:bookmarkEnd w:id="43"/>
      <w:bookmarkEnd w:id="44"/>
      <w:bookmarkEnd w:id="45"/>
      <w:bookmarkEnd w:id="46"/>
      <w:r>
        <w:rPr>
          <w:rFonts w:hint="eastAsia" w:ascii="宋体" w:hAnsi="宋体" w:eastAsia="宋体" w:cs="宋体"/>
          <w:b/>
          <w:color w:val="000000" w:themeColor="text1"/>
          <w:szCs w:val="21"/>
          <w:highlight w:val="none"/>
          <w14:textFill>
            <w14:solidFill>
              <w14:schemeClr w14:val="tx1"/>
            </w14:solidFill>
          </w14:textFill>
        </w:rPr>
        <w:t>凡对本次招标提出询问，请按照以下方式联系</w:t>
      </w:r>
    </w:p>
    <w:p w14:paraId="6795C788">
      <w:pPr>
        <w:spacing w:line="360" w:lineRule="auto"/>
        <w:ind w:firstLine="210" w:firstLineChars="100"/>
        <w:rPr>
          <w:rFonts w:hint="eastAsia" w:ascii="宋体" w:hAnsi="宋体" w:eastAsia="宋体" w:cs="宋体"/>
          <w:color w:val="000000" w:themeColor="text1"/>
          <w:kern w:val="0"/>
          <w:szCs w:val="21"/>
          <w:highlight w:val="none"/>
          <w:shd w:val="clear" w:color="auto" w:fill="FFFFFF"/>
          <w:lang w:bidi="ar"/>
          <w14:textFill>
            <w14:solidFill>
              <w14:schemeClr w14:val="tx1"/>
            </w14:solidFill>
          </w14:textFill>
        </w:rPr>
      </w:pPr>
      <w:r>
        <w:rPr>
          <w:rFonts w:hint="eastAsia" w:ascii="宋体" w:hAnsi="宋体" w:eastAsia="宋体" w:cs="宋体"/>
          <w:color w:val="000000" w:themeColor="text1"/>
          <w:kern w:val="0"/>
          <w:szCs w:val="21"/>
          <w:highlight w:val="none"/>
          <w:shd w:val="clear" w:color="auto" w:fill="FFFFFF"/>
          <w:lang w:bidi="ar"/>
          <w14:textFill>
            <w14:solidFill>
              <w14:schemeClr w14:val="tx1"/>
            </w14:solidFill>
          </w14:textFill>
        </w:rPr>
        <w:t>1.采购人信息</w:t>
      </w:r>
    </w:p>
    <w:p w14:paraId="3E6660B7">
      <w:pPr>
        <w:spacing w:line="360" w:lineRule="auto"/>
        <w:ind w:firstLine="210" w:firstLineChars="100"/>
        <w:rPr>
          <w:rFonts w:hint="eastAsia" w:ascii="宋体" w:hAnsi="宋体" w:eastAsia="宋体" w:cs="宋体"/>
          <w:color w:val="000000" w:themeColor="text1"/>
          <w:kern w:val="0"/>
          <w:szCs w:val="21"/>
          <w:highlight w:val="none"/>
          <w:shd w:val="clear" w:color="auto" w:fill="FFFFFF"/>
          <w:lang w:eastAsia="zh-CN" w:bidi="ar"/>
          <w14:textFill>
            <w14:solidFill>
              <w14:schemeClr w14:val="tx1"/>
            </w14:solidFill>
          </w14:textFill>
        </w:rPr>
      </w:pPr>
      <w:r>
        <w:rPr>
          <w:rFonts w:hint="eastAsia" w:ascii="宋体" w:hAnsi="宋体" w:eastAsia="宋体" w:cs="宋体"/>
          <w:color w:val="000000" w:themeColor="text1"/>
          <w:kern w:val="0"/>
          <w:szCs w:val="21"/>
          <w:highlight w:val="none"/>
          <w:shd w:val="clear" w:color="auto" w:fill="FFFFFF"/>
          <w:lang w:bidi="ar"/>
          <w14:textFill>
            <w14:solidFill>
              <w14:schemeClr w14:val="tx1"/>
            </w14:solidFill>
          </w14:textFill>
        </w:rPr>
        <w:t>名称：</w:t>
      </w:r>
      <w:r>
        <w:rPr>
          <w:rFonts w:hint="eastAsia" w:ascii="宋体" w:hAnsi="宋体" w:eastAsia="宋体" w:cs="宋体"/>
          <w:color w:val="000000" w:themeColor="text1"/>
          <w:kern w:val="0"/>
          <w:szCs w:val="21"/>
          <w:highlight w:val="none"/>
          <w:shd w:val="clear" w:color="auto" w:fill="FFFFFF"/>
          <w:lang w:eastAsia="zh-CN" w:bidi="ar"/>
          <w14:textFill>
            <w14:solidFill>
              <w14:schemeClr w14:val="tx1"/>
            </w14:solidFill>
          </w14:textFill>
        </w:rPr>
        <w:t>叶县辛店镇人民政府</w:t>
      </w:r>
    </w:p>
    <w:p w14:paraId="7F850759">
      <w:pPr>
        <w:spacing w:line="360" w:lineRule="auto"/>
        <w:ind w:firstLine="210" w:firstLineChars="100"/>
        <w:rPr>
          <w:rFonts w:hint="eastAsia" w:ascii="宋体" w:hAnsi="宋体" w:eastAsia="宋体" w:cs="宋体"/>
          <w:color w:val="000000" w:themeColor="text1"/>
          <w:kern w:val="0"/>
          <w:szCs w:val="21"/>
          <w:highlight w:val="none"/>
          <w:shd w:val="clear" w:color="auto" w:fill="FFFFFF"/>
          <w:lang w:eastAsia="zh-CN" w:bidi="ar"/>
          <w14:textFill>
            <w14:solidFill>
              <w14:schemeClr w14:val="tx1"/>
            </w14:solidFill>
          </w14:textFill>
        </w:rPr>
      </w:pPr>
      <w:r>
        <w:rPr>
          <w:rFonts w:hint="eastAsia" w:ascii="宋体" w:hAnsi="宋体" w:eastAsia="宋体" w:cs="宋体"/>
          <w:color w:val="000000" w:themeColor="text1"/>
          <w:kern w:val="0"/>
          <w:szCs w:val="21"/>
          <w:highlight w:val="none"/>
          <w:shd w:val="clear" w:color="auto" w:fill="FFFFFF"/>
          <w:lang w:bidi="ar"/>
          <w14:textFill>
            <w14:solidFill>
              <w14:schemeClr w14:val="tx1"/>
            </w14:solidFill>
          </w14:textFill>
        </w:rPr>
        <w:t>地址：河南省平顶山市</w:t>
      </w:r>
      <w:r>
        <w:rPr>
          <w:rFonts w:hint="eastAsia" w:ascii="宋体" w:hAnsi="宋体" w:eastAsia="宋体" w:cs="宋体"/>
          <w:color w:val="000000" w:themeColor="text1"/>
          <w:kern w:val="0"/>
          <w:szCs w:val="21"/>
          <w:highlight w:val="none"/>
          <w:shd w:val="clear" w:color="auto" w:fill="FFFFFF"/>
          <w:lang w:eastAsia="zh-CN" w:bidi="ar"/>
          <w14:textFill>
            <w14:solidFill>
              <w14:schemeClr w14:val="tx1"/>
            </w14:solidFill>
          </w14:textFill>
        </w:rPr>
        <w:t>叶县辛店镇</w:t>
      </w:r>
    </w:p>
    <w:p w14:paraId="239DC929">
      <w:pPr>
        <w:spacing w:line="360" w:lineRule="auto"/>
        <w:ind w:firstLine="210" w:firstLineChars="100"/>
        <w:rPr>
          <w:rFonts w:hint="default" w:ascii="宋体" w:hAnsi="宋体" w:eastAsia="宋体" w:cs="宋体"/>
          <w:color w:val="000000" w:themeColor="text1"/>
          <w:kern w:val="0"/>
          <w:szCs w:val="21"/>
          <w:highlight w:val="none"/>
          <w:shd w:val="clear" w:color="auto" w:fill="FFFFFF"/>
          <w:lang w:val="en-US" w:eastAsia="zh-CN" w:bidi="ar"/>
          <w14:textFill>
            <w14:solidFill>
              <w14:schemeClr w14:val="tx1"/>
            </w14:solidFill>
          </w14:textFill>
        </w:rPr>
      </w:pPr>
      <w:r>
        <w:rPr>
          <w:rFonts w:hint="eastAsia" w:ascii="宋体" w:hAnsi="宋体" w:eastAsia="宋体" w:cs="宋体"/>
          <w:color w:val="000000" w:themeColor="text1"/>
          <w:kern w:val="0"/>
          <w:szCs w:val="21"/>
          <w:highlight w:val="none"/>
          <w:shd w:val="clear" w:color="auto" w:fill="FFFFFF"/>
          <w:lang w:val="zh-CN" w:bidi="ar"/>
          <w14:textFill>
            <w14:solidFill>
              <w14:schemeClr w14:val="tx1"/>
            </w14:solidFill>
          </w14:textFill>
        </w:rPr>
        <w:t>联系人：</w:t>
      </w:r>
      <w:r>
        <w:rPr>
          <w:rFonts w:hint="eastAsia" w:ascii="宋体" w:hAnsi="宋体" w:cs="宋体"/>
          <w:color w:val="000000" w:themeColor="text1"/>
          <w:kern w:val="0"/>
          <w:szCs w:val="21"/>
          <w:highlight w:val="none"/>
          <w:shd w:val="clear" w:color="auto" w:fill="FFFFFF"/>
          <w:lang w:val="en-US" w:eastAsia="zh-CN" w:bidi="ar"/>
          <w14:textFill>
            <w14:solidFill>
              <w14:schemeClr w14:val="tx1"/>
            </w14:solidFill>
          </w14:textFill>
        </w:rPr>
        <w:t>赵先生</w:t>
      </w:r>
    </w:p>
    <w:p w14:paraId="703B04B7">
      <w:pPr>
        <w:spacing w:line="360" w:lineRule="auto"/>
        <w:ind w:firstLine="210" w:firstLineChars="100"/>
        <w:rPr>
          <w:rFonts w:hint="eastAsia" w:ascii="宋体" w:hAnsi="宋体" w:eastAsia="宋体" w:cs="宋体"/>
          <w:color w:val="000000" w:themeColor="text1"/>
          <w:kern w:val="0"/>
          <w:szCs w:val="21"/>
          <w:highlight w:val="none"/>
          <w:shd w:val="clear" w:color="auto" w:fill="FFFFFF"/>
          <w:lang w:val="zh-CN" w:eastAsia="zh-CN" w:bidi="ar"/>
          <w14:textFill>
            <w14:solidFill>
              <w14:schemeClr w14:val="tx1"/>
            </w14:solidFill>
          </w14:textFill>
        </w:rPr>
      </w:pPr>
      <w:r>
        <w:rPr>
          <w:rFonts w:hint="eastAsia" w:ascii="宋体" w:hAnsi="宋体" w:eastAsia="宋体" w:cs="宋体"/>
          <w:color w:val="000000" w:themeColor="text1"/>
          <w:kern w:val="0"/>
          <w:szCs w:val="21"/>
          <w:highlight w:val="none"/>
          <w:shd w:val="clear" w:color="auto" w:fill="FFFFFF"/>
          <w:lang w:val="zh-CN" w:bidi="ar"/>
          <w14:textFill>
            <w14:solidFill>
              <w14:schemeClr w14:val="tx1"/>
            </w14:solidFill>
          </w14:textFill>
        </w:rPr>
        <w:t>联系方式：</w:t>
      </w:r>
      <w:r>
        <w:rPr>
          <w:rFonts w:hint="eastAsia" w:ascii="宋体" w:hAnsi="宋体" w:eastAsia="宋体" w:cs="宋体"/>
          <w:color w:val="000000" w:themeColor="text1"/>
          <w:kern w:val="0"/>
          <w:szCs w:val="21"/>
          <w:highlight w:val="none"/>
          <w:shd w:val="clear" w:color="auto" w:fill="FFFFFF"/>
          <w:lang w:val="zh-CN" w:eastAsia="zh-CN" w:bidi="ar"/>
          <w14:textFill>
            <w14:solidFill>
              <w14:schemeClr w14:val="tx1"/>
            </w14:solidFill>
          </w14:textFill>
        </w:rPr>
        <w:t>13017573833</w:t>
      </w:r>
    </w:p>
    <w:p w14:paraId="042DEE41">
      <w:pPr>
        <w:spacing w:line="360" w:lineRule="auto"/>
        <w:ind w:firstLine="210" w:firstLineChars="100"/>
        <w:rPr>
          <w:rFonts w:hint="eastAsia" w:ascii="宋体" w:hAnsi="宋体" w:eastAsia="宋体" w:cs="宋体"/>
          <w:color w:val="000000" w:themeColor="text1"/>
          <w:kern w:val="0"/>
          <w:szCs w:val="21"/>
          <w:highlight w:val="none"/>
          <w:shd w:val="clear" w:color="auto" w:fill="FFFFFF"/>
          <w:lang w:bidi="ar"/>
          <w14:textFill>
            <w14:solidFill>
              <w14:schemeClr w14:val="tx1"/>
            </w14:solidFill>
          </w14:textFill>
        </w:rPr>
      </w:pPr>
      <w:r>
        <w:rPr>
          <w:rFonts w:hint="eastAsia" w:ascii="宋体" w:hAnsi="宋体" w:eastAsia="宋体" w:cs="宋体"/>
          <w:color w:val="000000" w:themeColor="text1"/>
          <w:kern w:val="0"/>
          <w:szCs w:val="21"/>
          <w:highlight w:val="none"/>
          <w:shd w:val="clear" w:color="auto" w:fill="FFFFFF"/>
          <w:lang w:bidi="ar"/>
          <w14:textFill>
            <w14:solidFill>
              <w14:schemeClr w14:val="tx1"/>
            </w14:solidFill>
          </w14:textFill>
        </w:rPr>
        <w:t>2.采购代理机构信息</w:t>
      </w:r>
    </w:p>
    <w:p w14:paraId="592BD1BD">
      <w:pPr>
        <w:spacing w:line="360" w:lineRule="auto"/>
        <w:ind w:firstLine="210" w:firstLineChars="100"/>
        <w:rPr>
          <w:rFonts w:hint="eastAsia" w:ascii="宋体" w:hAnsi="宋体" w:eastAsia="宋体" w:cs="宋体"/>
          <w:color w:val="000000" w:themeColor="text1"/>
          <w:kern w:val="0"/>
          <w:szCs w:val="21"/>
          <w:highlight w:val="none"/>
          <w:shd w:val="clear" w:color="auto" w:fill="FFFFFF"/>
          <w:lang w:val="zh-CN" w:bidi="ar"/>
          <w14:textFill>
            <w14:solidFill>
              <w14:schemeClr w14:val="tx1"/>
            </w14:solidFill>
          </w14:textFill>
        </w:rPr>
      </w:pPr>
      <w:r>
        <w:rPr>
          <w:rFonts w:hint="eastAsia" w:ascii="宋体" w:hAnsi="宋体" w:eastAsia="宋体" w:cs="宋体"/>
          <w:color w:val="000000" w:themeColor="text1"/>
          <w:kern w:val="0"/>
          <w:szCs w:val="21"/>
          <w:highlight w:val="none"/>
          <w:shd w:val="clear" w:color="auto" w:fill="FFFFFF"/>
          <w:lang w:val="zh-CN" w:bidi="ar"/>
          <w14:textFill>
            <w14:solidFill>
              <w14:schemeClr w14:val="tx1"/>
            </w14:solidFill>
          </w14:textFill>
        </w:rPr>
        <w:t>名称：河南平业咨询有限公司</w:t>
      </w:r>
    </w:p>
    <w:p w14:paraId="5F11FB02">
      <w:pPr>
        <w:spacing w:line="360" w:lineRule="auto"/>
        <w:ind w:firstLine="210" w:firstLineChars="100"/>
        <w:rPr>
          <w:rFonts w:hint="eastAsia" w:ascii="宋体" w:hAnsi="宋体" w:eastAsia="宋体" w:cs="宋体"/>
          <w:color w:val="000000" w:themeColor="text1"/>
          <w:kern w:val="0"/>
          <w:szCs w:val="21"/>
          <w:highlight w:val="none"/>
          <w:shd w:val="clear" w:color="auto" w:fill="FFFFFF"/>
          <w:lang w:val="zh-CN" w:bidi="ar"/>
          <w14:textFill>
            <w14:solidFill>
              <w14:schemeClr w14:val="tx1"/>
            </w14:solidFill>
          </w14:textFill>
        </w:rPr>
      </w:pPr>
      <w:r>
        <w:rPr>
          <w:rFonts w:hint="eastAsia" w:ascii="宋体" w:hAnsi="宋体" w:eastAsia="宋体" w:cs="宋体"/>
          <w:color w:val="000000" w:themeColor="text1"/>
          <w:kern w:val="0"/>
          <w:szCs w:val="21"/>
          <w:highlight w:val="none"/>
          <w:shd w:val="clear" w:color="auto" w:fill="FFFFFF"/>
          <w:lang w:val="zh-CN" w:bidi="ar"/>
          <w14:textFill>
            <w14:solidFill>
              <w14:schemeClr w14:val="tx1"/>
            </w14:solidFill>
          </w14:textFill>
        </w:rPr>
        <w:t>地址：河南自贸试验区郑州片区（郑东）金水东路51号楷林商务中心北区二单元7层03、04号房</w:t>
      </w:r>
    </w:p>
    <w:p w14:paraId="6DB34693">
      <w:pPr>
        <w:spacing w:line="360" w:lineRule="auto"/>
        <w:ind w:firstLine="210" w:firstLineChars="100"/>
        <w:rPr>
          <w:rFonts w:hint="eastAsia" w:ascii="宋体" w:hAnsi="宋体" w:eastAsia="宋体" w:cs="宋体"/>
          <w:color w:val="000000" w:themeColor="text1"/>
          <w:kern w:val="0"/>
          <w:szCs w:val="21"/>
          <w:highlight w:val="none"/>
          <w:shd w:val="clear" w:color="auto" w:fill="FFFFFF"/>
          <w:lang w:val="en-US" w:eastAsia="zh-CN" w:bidi="ar"/>
          <w14:textFill>
            <w14:solidFill>
              <w14:schemeClr w14:val="tx1"/>
            </w14:solidFill>
          </w14:textFill>
        </w:rPr>
      </w:pPr>
      <w:r>
        <w:rPr>
          <w:rFonts w:hint="eastAsia" w:ascii="宋体" w:hAnsi="宋体" w:eastAsia="宋体" w:cs="宋体"/>
          <w:color w:val="000000" w:themeColor="text1"/>
          <w:kern w:val="0"/>
          <w:szCs w:val="21"/>
          <w:highlight w:val="none"/>
          <w:shd w:val="clear" w:color="auto" w:fill="FFFFFF"/>
          <w:lang w:val="zh-CN" w:bidi="ar"/>
          <w14:textFill>
            <w14:solidFill>
              <w14:schemeClr w14:val="tx1"/>
            </w14:solidFill>
          </w14:textFill>
        </w:rPr>
        <w:t>联系人：李女士</w:t>
      </w:r>
    </w:p>
    <w:p w14:paraId="48DCDC0F">
      <w:pPr>
        <w:spacing w:line="360" w:lineRule="auto"/>
        <w:ind w:firstLine="210" w:firstLineChars="100"/>
        <w:rPr>
          <w:rFonts w:hint="eastAsia" w:ascii="宋体" w:hAnsi="宋体" w:eastAsia="宋体" w:cs="宋体"/>
          <w:color w:val="000000" w:themeColor="text1"/>
          <w:kern w:val="0"/>
          <w:szCs w:val="21"/>
          <w:highlight w:val="none"/>
          <w:shd w:val="clear" w:color="auto" w:fill="FFFFFF"/>
          <w:lang w:val="en-US" w:bidi="ar"/>
          <w14:textFill>
            <w14:solidFill>
              <w14:schemeClr w14:val="tx1"/>
            </w14:solidFill>
          </w14:textFill>
        </w:rPr>
      </w:pPr>
      <w:r>
        <w:rPr>
          <w:rFonts w:hint="eastAsia" w:ascii="宋体" w:hAnsi="宋体" w:eastAsia="宋体" w:cs="宋体"/>
          <w:color w:val="000000" w:themeColor="text1"/>
          <w:kern w:val="0"/>
          <w:szCs w:val="21"/>
          <w:highlight w:val="none"/>
          <w:shd w:val="clear" w:color="auto" w:fill="FFFFFF"/>
          <w:lang w:val="zh-CN" w:bidi="ar"/>
          <w14:textFill>
            <w14:solidFill>
              <w14:schemeClr w14:val="tx1"/>
            </w14:solidFill>
          </w14:textFill>
        </w:rPr>
        <w:t>联系方式：15993632555</w:t>
      </w:r>
    </w:p>
    <w:p w14:paraId="3ABB1F1C">
      <w:pPr>
        <w:spacing w:line="360" w:lineRule="auto"/>
        <w:ind w:firstLine="210" w:firstLineChars="100"/>
        <w:rPr>
          <w:rFonts w:hint="eastAsia" w:ascii="宋体" w:hAnsi="宋体" w:eastAsia="宋体" w:cs="宋体"/>
          <w:color w:val="000000" w:themeColor="text1"/>
          <w:kern w:val="0"/>
          <w:szCs w:val="21"/>
          <w:highlight w:val="none"/>
          <w:shd w:val="clear" w:color="auto" w:fill="FFFFFF"/>
          <w:lang w:bidi="ar"/>
          <w14:textFill>
            <w14:solidFill>
              <w14:schemeClr w14:val="tx1"/>
            </w14:solidFill>
          </w14:textFill>
        </w:rPr>
      </w:pPr>
      <w:r>
        <w:rPr>
          <w:rFonts w:hint="eastAsia" w:ascii="宋体" w:hAnsi="宋体" w:eastAsia="宋体" w:cs="宋体"/>
          <w:color w:val="000000" w:themeColor="text1"/>
          <w:kern w:val="0"/>
          <w:szCs w:val="21"/>
          <w:highlight w:val="none"/>
          <w:shd w:val="clear" w:color="auto" w:fill="FFFFFF"/>
          <w:lang w:bidi="ar"/>
          <w14:textFill>
            <w14:solidFill>
              <w14:schemeClr w14:val="tx1"/>
            </w14:solidFill>
          </w14:textFill>
        </w:rPr>
        <w:t xml:space="preserve">3.项目联系方式 </w:t>
      </w:r>
    </w:p>
    <w:p w14:paraId="46ABFD0F">
      <w:pPr>
        <w:spacing w:line="360" w:lineRule="auto"/>
        <w:ind w:firstLine="210" w:firstLineChars="100"/>
        <w:rPr>
          <w:rFonts w:hint="eastAsia" w:ascii="宋体" w:hAnsi="宋体" w:eastAsia="宋体" w:cs="宋体"/>
          <w:color w:val="000000" w:themeColor="text1"/>
          <w:kern w:val="0"/>
          <w:szCs w:val="21"/>
          <w:highlight w:val="none"/>
          <w:shd w:val="clear" w:color="auto" w:fill="FFFFFF"/>
          <w:lang w:bidi="ar"/>
          <w14:textFill>
            <w14:solidFill>
              <w14:schemeClr w14:val="tx1"/>
            </w14:solidFill>
          </w14:textFill>
        </w:rPr>
      </w:pPr>
      <w:r>
        <w:rPr>
          <w:rFonts w:hint="eastAsia" w:ascii="宋体" w:hAnsi="宋体" w:eastAsia="宋体" w:cs="宋体"/>
          <w:color w:val="000000" w:themeColor="text1"/>
          <w:kern w:val="0"/>
          <w:szCs w:val="21"/>
          <w:highlight w:val="none"/>
          <w:shd w:val="clear" w:color="auto" w:fill="FFFFFF"/>
          <w:lang w:bidi="ar"/>
          <w14:textFill>
            <w14:solidFill>
              <w14:schemeClr w14:val="tx1"/>
            </w14:solidFill>
          </w14:textFill>
        </w:rPr>
        <w:t>项目联系人：</w:t>
      </w:r>
      <w:r>
        <w:rPr>
          <w:rFonts w:hint="eastAsia" w:ascii="宋体" w:hAnsi="宋体" w:eastAsia="宋体" w:cs="宋体"/>
          <w:color w:val="000000" w:themeColor="text1"/>
          <w:kern w:val="0"/>
          <w:szCs w:val="21"/>
          <w:highlight w:val="none"/>
          <w:shd w:val="clear" w:color="auto" w:fill="FFFFFF"/>
          <w:lang w:val="zh-CN" w:bidi="ar"/>
          <w14:textFill>
            <w14:solidFill>
              <w14:schemeClr w14:val="tx1"/>
            </w14:solidFill>
          </w14:textFill>
        </w:rPr>
        <w:t>李女士</w:t>
      </w:r>
    </w:p>
    <w:p w14:paraId="346D8A62">
      <w:pPr>
        <w:spacing w:line="360" w:lineRule="auto"/>
        <w:ind w:firstLine="210" w:firstLineChars="1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shd w:val="clear" w:color="auto" w:fill="FFFFFF"/>
          <w:lang w:bidi="ar"/>
          <w14:textFill>
            <w14:solidFill>
              <w14:schemeClr w14:val="tx1"/>
            </w14:solidFill>
          </w14:textFill>
        </w:rPr>
        <w:t>联系方式：</w:t>
      </w:r>
      <w:r>
        <w:rPr>
          <w:rFonts w:hint="eastAsia" w:ascii="宋体" w:hAnsi="宋体" w:eastAsia="宋体" w:cs="宋体"/>
          <w:color w:val="000000" w:themeColor="text1"/>
          <w:kern w:val="0"/>
          <w:szCs w:val="21"/>
          <w:highlight w:val="none"/>
          <w:shd w:val="clear" w:color="auto" w:fill="FFFFFF"/>
          <w:lang w:val="zh-CN" w:bidi="ar"/>
          <w14:textFill>
            <w14:solidFill>
              <w14:schemeClr w14:val="tx1"/>
            </w14:solidFill>
          </w14:textFill>
        </w:rPr>
        <w:t>15993632555</w:t>
      </w:r>
    </w:p>
    <w:p w14:paraId="37FEEE78">
      <w:pPr>
        <w:spacing w:line="360" w:lineRule="auto"/>
        <w:ind w:left="239" w:leftChars="114" w:firstLine="210" w:firstLineChars="100"/>
        <w:jc w:val="cente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Cs/>
          <w:color w:val="000000" w:themeColor="text1"/>
          <w:kern w:val="0"/>
          <w:szCs w:val="21"/>
          <w:highlight w:val="none"/>
          <w14:textFill>
            <w14:solidFill>
              <w14:schemeClr w14:val="tx1"/>
            </w14:solidFill>
          </w14:textFill>
        </w:rPr>
        <w:br w:type="page"/>
      </w:r>
      <w:r>
        <w:rPr>
          <w:rFonts w:hint="eastAsia" w:ascii="宋体" w:hAnsi="宋体" w:eastAsia="宋体" w:cs="宋体"/>
          <w:b/>
          <w:color w:val="000000" w:themeColor="text1"/>
          <w:sz w:val="28"/>
          <w:szCs w:val="28"/>
          <w:highlight w:val="none"/>
          <w14:textFill>
            <w14:solidFill>
              <w14:schemeClr w14:val="tx1"/>
            </w14:solidFill>
          </w14:textFill>
        </w:rPr>
        <w:t>温馨提示：</w:t>
      </w:r>
    </w:p>
    <w:p w14:paraId="362E3A90">
      <w:pPr>
        <w:spacing w:line="360" w:lineRule="auto"/>
        <w:ind w:left="239" w:leftChars="114" w:firstLine="210" w:firstLineChars="100"/>
        <w:rPr>
          <w:rFonts w:hint="eastAsia" w:ascii="宋体" w:hAnsi="宋体" w:eastAsia="宋体" w:cs="宋体"/>
          <w:bCs/>
          <w:color w:val="000000" w:themeColor="text1"/>
          <w:szCs w:val="20"/>
          <w:highlight w:val="none"/>
          <w14:textFill>
            <w14:solidFill>
              <w14:schemeClr w14:val="tx1"/>
            </w14:solidFill>
          </w14:textFill>
        </w:rPr>
      </w:pPr>
      <w:r>
        <w:rPr>
          <w:rFonts w:hint="eastAsia" w:ascii="宋体" w:hAnsi="宋体" w:eastAsia="宋体" w:cs="宋体"/>
          <w:bCs/>
          <w:color w:val="000000" w:themeColor="text1"/>
          <w:szCs w:val="20"/>
          <w:highlight w:val="none"/>
          <w14:textFill>
            <w14:solidFill>
              <w14:schemeClr w14:val="tx1"/>
            </w14:solidFill>
          </w14:textFill>
        </w:rPr>
        <w:t>本项目为全流程电子化交易项目，请认真阅读采购文件，并注意以下事项。</w:t>
      </w:r>
    </w:p>
    <w:p w14:paraId="0AAF9C11">
      <w:pPr>
        <w:spacing w:line="360" w:lineRule="auto"/>
        <w:ind w:left="239" w:leftChars="114" w:firstLine="210" w:firstLineChars="100"/>
        <w:rPr>
          <w:rFonts w:hint="eastAsia" w:ascii="宋体" w:hAnsi="宋体" w:eastAsia="宋体" w:cs="宋体"/>
          <w:bCs/>
          <w:color w:val="000000" w:themeColor="text1"/>
          <w:szCs w:val="20"/>
          <w:highlight w:val="none"/>
          <w14:textFill>
            <w14:solidFill>
              <w14:schemeClr w14:val="tx1"/>
            </w14:solidFill>
          </w14:textFill>
        </w:rPr>
      </w:pPr>
      <w:r>
        <w:rPr>
          <w:rFonts w:hint="eastAsia" w:ascii="宋体" w:hAnsi="宋体" w:eastAsia="宋体" w:cs="宋体"/>
          <w:bCs/>
          <w:color w:val="000000" w:themeColor="text1"/>
          <w:szCs w:val="20"/>
          <w:highlight w:val="none"/>
          <w14:textFill>
            <w14:solidFill>
              <w14:schemeClr w14:val="tx1"/>
            </w14:solidFill>
          </w14:textFill>
        </w:rPr>
        <w:t xml:space="preserve">1.供应商应按采购文件规定编制、提交电子响应文件。 </w:t>
      </w:r>
    </w:p>
    <w:p w14:paraId="3514C6E8">
      <w:pPr>
        <w:spacing w:line="360" w:lineRule="auto"/>
        <w:ind w:left="239" w:leftChars="114" w:firstLine="210" w:firstLineChars="100"/>
        <w:rPr>
          <w:rFonts w:hint="eastAsia" w:ascii="宋体" w:hAnsi="宋体" w:eastAsia="宋体" w:cs="宋体"/>
          <w:bCs/>
          <w:color w:val="000000" w:themeColor="text1"/>
          <w:szCs w:val="20"/>
          <w:highlight w:val="none"/>
          <w14:textFill>
            <w14:solidFill>
              <w14:schemeClr w14:val="tx1"/>
            </w14:solidFill>
          </w14:textFill>
        </w:rPr>
      </w:pPr>
      <w:r>
        <w:rPr>
          <w:rFonts w:hint="eastAsia" w:ascii="宋体" w:hAnsi="宋体" w:eastAsia="宋体" w:cs="宋体"/>
          <w:bCs/>
          <w:color w:val="000000" w:themeColor="text1"/>
          <w:szCs w:val="20"/>
          <w:highlight w:val="none"/>
          <w14:textFill>
            <w14:solidFill>
              <w14:schemeClr w14:val="tx1"/>
            </w14:solidFill>
          </w14:textFill>
        </w:rPr>
        <w:t>2.本项目供应商不用再提供纸质响应文件。</w:t>
      </w:r>
    </w:p>
    <w:p w14:paraId="11D36CB5">
      <w:pPr>
        <w:spacing w:line="360" w:lineRule="auto"/>
        <w:ind w:left="239" w:leftChars="114" w:firstLine="210" w:firstLineChars="100"/>
        <w:rPr>
          <w:rFonts w:hint="eastAsia" w:ascii="宋体" w:hAnsi="宋体" w:eastAsia="宋体" w:cs="宋体"/>
          <w:bCs/>
          <w:color w:val="000000" w:themeColor="text1"/>
          <w:szCs w:val="20"/>
          <w:highlight w:val="none"/>
          <w14:textFill>
            <w14:solidFill>
              <w14:schemeClr w14:val="tx1"/>
            </w14:solidFill>
          </w14:textFill>
        </w:rPr>
      </w:pPr>
      <w:r>
        <w:rPr>
          <w:rFonts w:hint="eastAsia" w:ascii="宋体" w:hAnsi="宋体" w:eastAsia="宋体" w:cs="宋体"/>
          <w:bCs/>
          <w:color w:val="000000" w:themeColor="text1"/>
          <w:szCs w:val="20"/>
          <w:highlight w:val="none"/>
          <w14:textFill>
            <w14:solidFill>
              <w14:schemeClr w14:val="tx1"/>
            </w14:solidFill>
          </w14:textFill>
        </w:rPr>
        <w:t>3.电子文件下载、制作、提交期间和开标（电子响应文件的解密）环节，供应商须使用CA数字证书（证书须在有效期内）。</w:t>
      </w:r>
    </w:p>
    <w:p w14:paraId="5FE7C2EF">
      <w:pPr>
        <w:spacing w:line="360" w:lineRule="auto"/>
        <w:ind w:left="239" w:leftChars="114" w:firstLine="210" w:firstLineChars="100"/>
        <w:rPr>
          <w:rFonts w:hint="eastAsia" w:ascii="宋体" w:hAnsi="宋体" w:eastAsia="宋体" w:cs="宋体"/>
          <w:bCs/>
          <w:color w:val="000000" w:themeColor="text1"/>
          <w:szCs w:val="20"/>
          <w:highlight w:val="none"/>
          <w14:textFill>
            <w14:solidFill>
              <w14:schemeClr w14:val="tx1"/>
            </w14:solidFill>
          </w14:textFill>
        </w:rPr>
      </w:pPr>
      <w:r>
        <w:rPr>
          <w:rFonts w:hint="eastAsia" w:ascii="宋体" w:hAnsi="宋体" w:eastAsia="宋体" w:cs="宋体"/>
          <w:bCs/>
          <w:color w:val="000000" w:themeColor="text1"/>
          <w:szCs w:val="20"/>
          <w:highlight w:val="none"/>
          <w14:textFill>
            <w14:solidFill>
              <w14:schemeClr w14:val="tx1"/>
            </w14:solidFill>
          </w14:textFill>
        </w:rPr>
        <w:t>4.电子响应文件的制作</w:t>
      </w:r>
    </w:p>
    <w:p w14:paraId="548F6EE4">
      <w:pPr>
        <w:spacing w:line="360" w:lineRule="auto"/>
        <w:ind w:left="239" w:leftChars="114" w:firstLine="210" w:firstLineChars="100"/>
        <w:rPr>
          <w:rFonts w:hint="eastAsia" w:ascii="宋体" w:hAnsi="宋体" w:eastAsia="宋体" w:cs="宋体"/>
          <w:bCs/>
          <w:color w:val="000000" w:themeColor="text1"/>
          <w:szCs w:val="20"/>
          <w:highlight w:val="none"/>
          <w14:textFill>
            <w14:solidFill>
              <w14:schemeClr w14:val="tx1"/>
            </w14:solidFill>
          </w14:textFill>
        </w:rPr>
      </w:pPr>
      <w:r>
        <w:rPr>
          <w:rFonts w:hint="eastAsia" w:ascii="宋体" w:hAnsi="宋体" w:eastAsia="宋体" w:cs="宋体"/>
          <w:bCs/>
          <w:color w:val="000000" w:themeColor="text1"/>
          <w:szCs w:val="20"/>
          <w:highlight w:val="none"/>
          <w14:textFill>
            <w14:solidFill>
              <w14:schemeClr w14:val="tx1"/>
            </w14:solidFill>
          </w14:textFill>
        </w:rPr>
        <w:t>4.1供应商登录《全国公共资源交易平台(河南省▪平顶山市)》公共资源交易系统，下载“平顶山响应文件制作系统”，按采购文件要求制作电子响应文件。</w:t>
      </w:r>
    </w:p>
    <w:p w14:paraId="5758788D">
      <w:pPr>
        <w:spacing w:line="360" w:lineRule="auto"/>
        <w:ind w:left="239" w:leftChars="114" w:firstLine="210" w:firstLineChars="100"/>
        <w:rPr>
          <w:rFonts w:hint="eastAsia" w:ascii="宋体" w:hAnsi="宋体" w:eastAsia="宋体" w:cs="宋体"/>
          <w:bCs/>
          <w:color w:val="000000" w:themeColor="text1"/>
          <w:szCs w:val="20"/>
          <w:highlight w:val="none"/>
          <w14:textFill>
            <w14:solidFill>
              <w14:schemeClr w14:val="tx1"/>
            </w14:solidFill>
          </w14:textFill>
        </w:rPr>
      </w:pPr>
      <w:r>
        <w:rPr>
          <w:rFonts w:hint="eastAsia" w:ascii="宋体" w:hAnsi="宋体" w:eastAsia="宋体" w:cs="宋体"/>
          <w:bCs/>
          <w:color w:val="000000" w:themeColor="text1"/>
          <w:szCs w:val="20"/>
          <w:highlight w:val="none"/>
          <w14:textFill>
            <w14:solidFill>
              <w14:schemeClr w14:val="tx1"/>
            </w14:solidFill>
          </w14:textFill>
        </w:rPr>
        <w:t>电子响应文件的制作，参考《全国公共资源交易平台(河南省▪平顶山市)》公共资源交易系统——组件下载——交易系统操作手册（供应商、供应商）。</w:t>
      </w:r>
    </w:p>
    <w:p w14:paraId="4D69A81B">
      <w:pPr>
        <w:spacing w:line="360" w:lineRule="auto"/>
        <w:ind w:left="239" w:leftChars="114" w:firstLine="210" w:firstLineChars="100"/>
        <w:rPr>
          <w:rFonts w:hint="eastAsia" w:ascii="宋体" w:hAnsi="宋体" w:eastAsia="宋体" w:cs="宋体"/>
          <w:bCs/>
          <w:color w:val="000000" w:themeColor="text1"/>
          <w:szCs w:val="20"/>
          <w:highlight w:val="none"/>
          <w14:textFill>
            <w14:solidFill>
              <w14:schemeClr w14:val="tx1"/>
            </w14:solidFill>
          </w14:textFill>
        </w:rPr>
      </w:pPr>
      <w:r>
        <w:rPr>
          <w:rFonts w:hint="eastAsia" w:ascii="宋体" w:hAnsi="宋体" w:eastAsia="宋体" w:cs="宋体"/>
          <w:bCs/>
          <w:color w:val="000000" w:themeColor="text1"/>
          <w:szCs w:val="20"/>
          <w:highlight w:val="none"/>
          <w14:textFill>
            <w14:solidFill>
              <w14:schemeClr w14:val="tx1"/>
            </w14:solidFill>
          </w14:textFill>
        </w:rPr>
        <w:t>4.2供应商须将采购文件要求的资质、业绩、荣誉及相关人员证明材料等资料原件扫描件（或图片）制作到所提交的电子响应文件中。</w:t>
      </w:r>
    </w:p>
    <w:p w14:paraId="1DFCCB5E">
      <w:pPr>
        <w:spacing w:line="360" w:lineRule="auto"/>
        <w:ind w:left="239" w:leftChars="114" w:firstLine="210" w:firstLineChars="100"/>
        <w:rPr>
          <w:rFonts w:hint="eastAsia" w:ascii="宋体" w:hAnsi="宋体" w:eastAsia="宋体" w:cs="宋体"/>
          <w:bCs/>
          <w:color w:val="000000" w:themeColor="text1"/>
          <w:szCs w:val="20"/>
          <w:highlight w:val="none"/>
          <w14:textFill>
            <w14:solidFill>
              <w14:schemeClr w14:val="tx1"/>
            </w14:solidFill>
          </w14:textFill>
        </w:rPr>
      </w:pPr>
      <w:r>
        <w:rPr>
          <w:rFonts w:hint="eastAsia" w:ascii="宋体" w:hAnsi="宋体" w:eastAsia="宋体" w:cs="宋体"/>
          <w:bCs/>
          <w:color w:val="000000" w:themeColor="text1"/>
          <w:szCs w:val="20"/>
          <w:highlight w:val="none"/>
          <w14:textFill>
            <w14:solidFill>
              <w14:schemeClr w14:val="tx1"/>
            </w14:solidFill>
          </w14:textFill>
        </w:rPr>
        <w:t>4.3供应商对同一项目多个标段进行投标的，应分别下载所投标段的采购文件，按标段制作电子响应文件，并按采购文件要求在相应位置加盖供应商电子印章和法人电子印章。</w:t>
      </w:r>
    </w:p>
    <w:p w14:paraId="5406510C">
      <w:pPr>
        <w:spacing w:line="360" w:lineRule="auto"/>
        <w:ind w:left="239" w:leftChars="114" w:firstLine="210" w:firstLineChars="100"/>
        <w:rPr>
          <w:rFonts w:hint="eastAsia" w:ascii="宋体" w:hAnsi="宋体" w:eastAsia="宋体" w:cs="宋体"/>
          <w:bCs/>
          <w:color w:val="000000" w:themeColor="text1"/>
          <w:szCs w:val="20"/>
          <w:highlight w:val="none"/>
          <w14:textFill>
            <w14:solidFill>
              <w14:schemeClr w14:val="tx1"/>
            </w14:solidFill>
          </w14:textFill>
        </w:rPr>
      </w:pPr>
      <w:r>
        <w:rPr>
          <w:rFonts w:hint="eastAsia" w:ascii="宋体" w:hAnsi="宋体" w:eastAsia="宋体" w:cs="宋体"/>
          <w:bCs/>
          <w:color w:val="000000" w:themeColor="text1"/>
          <w:szCs w:val="20"/>
          <w:highlight w:val="none"/>
          <w14:textFill>
            <w14:solidFill>
              <w14:schemeClr w14:val="tx1"/>
            </w14:solidFill>
          </w14:textFill>
        </w:rPr>
        <w:t>一个标段对应生成一个文件夹（xxxx项目xx标段）, 其中包含2个文件和1个文件夹。后缀名为“.file”的文件用于电子投标使用。</w:t>
      </w:r>
    </w:p>
    <w:p w14:paraId="138B2C76">
      <w:pPr>
        <w:spacing w:line="360" w:lineRule="auto"/>
        <w:ind w:left="239" w:leftChars="114" w:firstLine="210" w:firstLineChars="100"/>
        <w:rPr>
          <w:rFonts w:hint="eastAsia" w:ascii="宋体" w:hAnsi="宋体" w:eastAsia="宋体" w:cs="宋体"/>
          <w:bCs/>
          <w:color w:val="000000" w:themeColor="text1"/>
          <w:szCs w:val="20"/>
          <w:highlight w:val="none"/>
          <w14:textFill>
            <w14:solidFill>
              <w14:schemeClr w14:val="tx1"/>
            </w14:solidFill>
          </w14:textFill>
        </w:rPr>
      </w:pPr>
      <w:r>
        <w:rPr>
          <w:rFonts w:hint="eastAsia" w:ascii="宋体" w:hAnsi="宋体" w:eastAsia="宋体" w:cs="宋体"/>
          <w:bCs/>
          <w:color w:val="000000" w:themeColor="text1"/>
          <w:szCs w:val="20"/>
          <w:highlight w:val="none"/>
          <w14:textFill>
            <w14:solidFill>
              <w14:schemeClr w14:val="tx1"/>
            </w14:solidFill>
          </w14:textFill>
        </w:rPr>
        <w:t>5.加密电子响应文件的提交</w:t>
      </w:r>
    </w:p>
    <w:p w14:paraId="73EE6321">
      <w:pPr>
        <w:spacing w:line="360" w:lineRule="auto"/>
        <w:ind w:left="239" w:leftChars="114" w:firstLine="210" w:firstLineChars="100"/>
        <w:rPr>
          <w:rFonts w:hint="eastAsia" w:ascii="宋体" w:hAnsi="宋体" w:eastAsia="宋体" w:cs="宋体"/>
          <w:bCs/>
          <w:color w:val="000000" w:themeColor="text1"/>
          <w:szCs w:val="20"/>
          <w:highlight w:val="none"/>
          <w14:textFill>
            <w14:solidFill>
              <w14:schemeClr w14:val="tx1"/>
            </w14:solidFill>
          </w14:textFill>
        </w:rPr>
      </w:pPr>
      <w:r>
        <w:rPr>
          <w:rFonts w:hint="eastAsia" w:ascii="宋体" w:hAnsi="宋体" w:eastAsia="宋体" w:cs="宋体"/>
          <w:bCs/>
          <w:color w:val="000000" w:themeColor="text1"/>
          <w:szCs w:val="20"/>
          <w:highlight w:val="none"/>
          <w14:textFill>
            <w14:solidFill>
              <w14:schemeClr w14:val="tx1"/>
            </w14:solidFill>
          </w14:textFill>
        </w:rPr>
        <w:t>5.1加密电子响应文件应在采购文件规定的投标截止时间（开标时间）之前成功提交至《全国公共资源交易平台(河南省▪平顶山市)》公共资源交易系统。</w:t>
      </w:r>
    </w:p>
    <w:p w14:paraId="5B10F392">
      <w:pPr>
        <w:spacing w:line="360" w:lineRule="auto"/>
        <w:ind w:left="239" w:leftChars="114" w:firstLine="210" w:firstLineChars="100"/>
        <w:rPr>
          <w:rFonts w:hint="eastAsia" w:ascii="宋体" w:hAnsi="宋体" w:eastAsia="宋体" w:cs="宋体"/>
          <w:bCs/>
          <w:color w:val="000000" w:themeColor="text1"/>
          <w:szCs w:val="20"/>
          <w:highlight w:val="none"/>
          <w14:textFill>
            <w14:solidFill>
              <w14:schemeClr w14:val="tx1"/>
            </w14:solidFill>
          </w14:textFill>
        </w:rPr>
      </w:pPr>
      <w:r>
        <w:rPr>
          <w:rFonts w:hint="eastAsia" w:ascii="宋体" w:hAnsi="宋体" w:eastAsia="宋体" w:cs="宋体"/>
          <w:bCs/>
          <w:color w:val="000000" w:themeColor="text1"/>
          <w:szCs w:val="20"/>
          <w:highlight w:val="none"/>
          <w14:textFill>
            <w14:solidFill>
              <w14:schemeClr w14:val="tx1"/>
            </w14:solidFill>
          </w14:textFill>
        </w:rPr>
        <w:t>供应商应充分考虑并预留技术处理和上传数据所需时间。</w:t>
      </w:r>
    </w:p>
    <w:p w14:paraId="654AF7BC">
      <w:pPr>
        <w:spacing w:line="360" w:lineRule="auto"/>
        <w:ind w:left="239" w:leftChars="114" w:firstLine="210" w:firstLineChars="1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Cs w:val="20"/>
          <w:highlight w:val="none"/>
          <w14:textFill>
            <w14:solidFill>
              <w14:schemeClr w14:val="tx1"/>
            </w14:solidFill>
          </w14:textFill>
        </w:rPr>
        <w:t>5.2供应商对同一项目多个标段进行投标的，加密电子响应文件应按标段分别提交。</w:t>
      </w:r>
    </w:p>
    <w:p w14:paraId="3E24264F">
      <w:pPr>
        <w:pStyle w:val="3"/>
        <w:bidi w:val="0"/>
        <w:rPr>
          <w:rFonts w:hint="eastAsia"/>
          <w:color w:val="000000" w:themeColor="text1"/>
          <w14:textFill>
            <w14:solidFill>
              <w14:schemeClr w14:val="tx1"/>
            </w14:solidFill>
          </w14:textFill>
        </w:rPr>
      </w:pPr>
      <w:r>
        <w:rPr>
          <w:rFonts w:hint="eastAsia" w:ascii="宋体" w:hAnsi="宋体" w:eastAsia="宋体" w:cs="宋体"/>
          <w:color w:val="000000" w:themeColor="text1"/>
          <w:kern w:val="0"/>
          <w:szCs w:val="20"/>
          <w:highlight w:val="none"/>
          <w14:textFill>
            <w14:solidFill>
              <w14:schemeClr w14:val="tx1"/>
            </w14:solidFill>
          </w14:textFill>
        </w:rPr>
        <w:br w:type="page"/>
      </w:r>
      <w:bookmarkStart w:id="47" w:name="_Toc135922535"/>
      <w:bookmarkStart w:id="48" w:name="_Toc19313"/>
      <w:bookmarkStart w:id="49" w:name="_Toc135648884"/>
      <w:r>
        <w:rPr>
          <w:rFonts w:hint="eastAsia"/>
          <w:color w:val="000000" w:themeColor="text1"/>
          <w14:textFill>
            <w14:solidFill>
              <w14:schemeClr w14:val="tx1"/>
            </w14:solidFill>
          </w14:textFill>
        </w:rPr>
        <w:t>第二章 投标人须知</w:t>
      </w:r>
      <w:bookmarkEnd w:id="25"/>
      <w:bookmarkEnd w:id="26"/>
      <w:bookmarkEnd w:id="27"/>
      <w:bookmarkEnd w:id="28"/>
      <w:bookmarkEnd w:id="29"/>
      <w:bookmarkEnd w:id="30"/>
      <w:bookmarkEnd w:id="31"/>
      <w:bookmarkEnd w:id="32"/>
      <w:bookmarkEnd w:id="33"/>
      <w:bookmarkEnd w:id="34"/>
      <w:bookmarkEnd w:id="47"/>
      <w:bookmarkEnd w:id="48"/>
      <w:bookmarkEnd w:id="49"/>
    </w:p>
    <w:p w14:paraId="0D2A372C">
      <w:pPr>
        <w:keepNext/>
        <w:keepLines/>
        <w:spacing w:before="260" w:after="260" w:line="412" w:lineRule="auto"/>
        <w:jc w:val="center"/>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50" w:name="_Toc24931"/>
      <w:bookmarkStart w:id="51" w:name="_Toc152042304"/>
      <w:bookmarkStart w:id="52" w:name="_Toc135648885"/>
      <w:bookmarkStart w:id="53" w:name="_Toc247085688"/>
      <w:bookmarkStart w:id="54" w:name="_Toc144974496"/>
      <w:bookmarkStart w:id="55" w:name="_Toc246996917"/>
      <w:bookmarkStart w:id="56" w:name="_Toc179632545"/>
      <w:bookmarkStart w:id="57" w:name="_Toc11547"/>
      <w:bookmarkStart w:id="58" w:name="_Toc21628"/>
      <w:bookmarkStart w:id="59" w:name="_Toc246996174"/>
      <w:bookmarkStart w:id="60" w:name="_Toc81321209"/>
      <w:bookmarkStart w:id="61" w:name="_Toc152045528"/>
      <w:bookmarkStart w:id="62" w:name="_Toc57369396"/>
      <w:r>
        <w:rPr>
          <w:rFonts w:hint="eastAsia" w:ascii="宋体" w:hAnsi="宋体" w:eastAsia="宋体" w:cs="宋体"/>
          <w:b/>
          <w:bCs/>
          <w:color w:val="000000" w:themeColor="text1"/>
          <w:kern w:val="0"/>
          <w:sz w:val="32"/>
          <w:szCs w:val="32"/>
          <w:highlight w:val="none"/>
          <w14:textFill>
            <w14:solidFill>
              <w14:schemeClr w14:val="tx1"/>
            </w14:solidFill>
          </w14:textFill>
        </w:rPr>
        <w:t>投标人须知前附表</w:t>
      </w:r>
      <w:bookmarkEnd w:id="50"/>
      <w:bookmarkEnd w:id="51"/>
      <w:bookmarkEnd w:id="52"/>
      <w:bookmarkEnd w:id="53"/>
      <w:bookmarkEnd w:id="54"/>
      <w:bookmarkEnd w:id="55"/>
      <w:bookmarkEnd w:id="56"/>
      <w:bookmarkEnd w:id="57"/>
      <w:bookmarkEnd w:id="58"/>
      <w:bookmarkEnd w:id="59"/>
      <w:bookmarkEnd w:id="60"/>
      <w:bookmarkEnd w:id="61"/>
      <w:bookmarkEnd w:id="62"/>
    </w:p>
    <w:tbl>
      <w:tblPr>
        <w:tblStyle w:val="18"/>
        <w:tblW w:w="0" w:type="auto"/>
        <w:tblInd w:w="-34" w:type="dxa"/>
        <w:tblLayout w:type="fixed"/>
        <w:tblCellMar>
          <w:top w:w="0" w:type="dxa"/>
          <w:left w:w="108" w:type="dxa"/>
          <w:bottom w:w="0" w:type="dxa"/>
          <w:right w:w="108" w:type="dxa"/>
        </w:tblCellMar>
      </w:tblPr>
      <w:tblGrid>
        <w:gridCol w:w="709"/>
        <w:gridCol w:w="2552"/>
        <w:gridCol w:w="5953"/>
      </w:tblGrid>
      <w:tr w14:paraId="5890397C">
        <w:tblPrEx>
          <w:tblCellMar>
            <w:top w:w="0" w:type="dxa"/>
            <w:left w:w="108" w:type="dxa"/>
            <w:bottom w:w="0" w:type="dxa"/>
            <w:right w:w="108" w:type="dxa"/>
          </w:tblCellMar>
        </w:tblPrEx>
        <w:trPr>
          <w:trHeight w:val="6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4F762E9">
            <w:pPr>
              <w:spacing w:line="400" w:lineRule="exact"/>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条款号</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45EAF8E1">
            <w:pPr>
              <w:spacing w:line="400" w:lineRule="exact"/>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条  款  名  称</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39E265BF">
            <w:pPr>
              <w:spacing w:line="400" w:lineRule="exact"/>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编  列  内  容</w:t>
            </w:r>
          </w:p>
        </w:tc>
      </w:tr>
      <w:tr w14:paraId="5B20B5B7">
        <w:tblPrEx>
          <w:tblCellMar>
            <w:top w:w="0" w:type="dxa"/>
            <w:left w:w="108" w:type="dxa"/>
            <w:bottom w:w="0" w:type="dxa"/>
            <w:right w:w="108" w:type="dxa"/>
          </w:tblCellMar>
        </w:tblPrEx>
        <w:trPr>
          <w:trHeight w:val="51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36490D8">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125D40A7">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采购人</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4BCAA74E">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名称：</w:t>
            </w:r>
            <w:r>
              <w:rPr>
                <w:rFonts w:hint="eastAsia" w:ascii="宋体" w:hAnsi="宋体" w:eastAsia="宋体" w:cs="宋体"/>
                <w:color w:val="000000" w:themeColor="text1"/>
                <w:szCs w:val="21"/>
                <w:highlight w:val="none"/>
                <w:lang w:eastAsia="zh-CN"/>
                <w14:textFill>
                  <w14:solidFill>
                    <w14:schemeClr w14:val="tx1"/>
                  </w14:solidFill>
                </w14:textFill>
              </w:rPr>
              <w:t>叶县辛店镇人民政府</w:t>
            </w:r>
          </w:p>
          <w:p w14:paraId="09DB8696">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地址：河南省平顶山市</w:t>
            </w:r>
            <w:r>
              <w:rPr>
                <w:rFonts w:hint="eastAsia" w:ascii="宋体" w:hAnsi="宋体" w:eastAsia="宋体" w:cs="宋体"/>
                <w:color w:val="000000" w:themeColor="text1"/>
                <w:szCs w:val="21"/>
                <w:highlight w:val="none"/>
                <w:lang w:eastAsia="zh-CN"/>
                <w14:textFill>
                  <w14:solidFill>
                    <w14:schemeClr w14:val="tx1"/>
                  </w14:solidFill>
                </w14:textFill>
              </w:rPr>
              <w:t>叶县辛店镇</w:t>
            </w:r>
          </w:p>
          <w:p w14:paraId="1D2F1A5D">
            <w:pP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default" w:ascii="宋体" w:hAnsi="宋体" w:eastAsia="宋体" w:cs="宋体"/>
                <w:color w:val="000000" w:themeColor="text1"/>
                <w:szCs w:val="21"/>
                <w:highlight w:val="none"/>
                <w:lang w:val="en-US" w:eastAsia="zh-CN"/>
                <w14:textFill>
                  <w14:solidFill>
                    <w14:schemeClr w14:val="tx1"/>
                  </w14:solidFill>
                </w14:textFill>
              </w:rPr>
              <w:t>联系人：赵先生</w:t>
            </w:r>
          </w:p>
          <w:p w14:paraId="01143CD8">
            <w:pP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default" w:ascii="宋体" w:hAnsi="宋体" w:eastAsia="宋体" w:cs="宋体"/>
                <w:color w:val="000000" w:themeColor="text1"/>
                <w:szCs w:val="21"/>
                <w:highlight w:val="none"/>
                <w:lang w:val="en-US" w:eastAsia="zh-CN"/>
                <w14:textFill>
                  <w14:solidFill>
                    <w14:schemeClr w14:val="tx1"/>
                  </w14:solidFill>
                </w14:textFill>
              </w:rPr>
              <w:t>联系方式：13017573833</w:t>
            </w:r>
          </w:p>
        </w:tc>
      </w:tr>
      <w:tr w14:paraId="69225AC3">
        <w:tblPrEx>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noWrap w:val="0"/>
            <w:vAlign w:val="center"/>
          </w:tcPr>
          <w:p w14:paraId="75B41625">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62727800">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采购代理机构</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1A0AFCB2">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名称：</w:t>
            </w:r>
            <w:r>
              <w:rPr>
                <w:rFonts w:hint="eastAsia" w:ascii="宋体" w:hAnsi="宋体" w:eastAsia="宋体" w:cs="宋体"/>
                <w:color w:val="000000" w:themeColor="text1"/>
                <w:szCs w:val="21"/>
                <w:highlight w:val="none"/>
                <w:lang w:val="zh-CN"/>
                <w14:textFill>
                  <w14:solidFill>
                    <w14:schemeClr w14:val="tx1"/>
                  </w14:solidFill>
                </w14:textFill>
              </w:rPr>
              <w:t>河南平业咨询有限公司</w:t>
            </w:r>
          </w:p>
          <w:p w14:paraId="4A09A5F8">
            <w:pP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地  址：</w:t>
            </w:r>
            <w:r>
              <w:rPr>
                <w:rFonts w:hint="eastAsia" w:ascii="宋体" w:hAnsi="宋体" w:eastAsia="宋体" w:cs="宋体"/>
                <w:color w:val="000000" w:themeColor="text1"/>
                <w:szCs w:val="21"/>
                <w:highlight w:val="none"/>
                <w:lang w:val="en-US" w:eastAsia="zh-CN"/>
                <w14:textFill>
                  <w14:solidFill>
                    <w14:schemeClr w14:val="tx1"/>
                  </w14:solidFill>
                </w14:textFill>
              </w:rPr>
              <w:t>河南自贸试验区郑州片区（郑东）金水东路51号楷林商务中心北区二单元7层03、04号房</w:t>
            </w:r>
          </w:p>
          <w:p w14:paraId="2C2CA2B6">
            <w:pP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联系人：</w:t>
            </w:r>
            <w:r>
              <w:rPr>
                <w:rFonts w:hint="eastAsia" w:ascii="宋体" w:hAnsi="宋体" w:eastAsia="宋体" w:cs="宋体"/>
                <w:color w:val="000000" w:themeColor="text1"/>
                <w:szCs w:val="21"/>
                <w:highlight w:val="none"/>
                <w:lang w:val="en-US" w:eastAsia="zh-CN"/>
                <w14:textFill>
                  <w14:solidFill>
                    <w14:schemeClr w14:val="tx1"/>
                  </w14:solidFill>
                </w14:textFill>
              </w:rPr>
              <w:t>李女士</w:t>
            </w:r>
          </w:p>
          <w:p w14:paraId="5943B3B0">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联系方式：</w:t>
            </w:r>
            <w:r>
              <w:rPr>
                <w:rFonts w:hint="eastAsia" w:ascii="宋体" w:hAnsi="宋体" w:eastAsia="宋体" w:cs="宋体"/>
                <w:color w:val="000000" w:themeColor="text1"/>
                <w:szCs w:val="21"/>
                <w:highlight w:val="none"/>
                <w:lang w:val="zh-CN"/>
                <w14:textFill>
                  <w14:solidFill>
                    <w14:schemeClr w14:val="tx1"/>
                  </w14:solidFill>
                </w14:textFill>
              </w:rPr>
              <w:t>15993632555</w:t>
            </w:r>
          </w:p>
        </w:tc>
      </w:tr>
      <w:tr w14:paraId="751928CA">
        <w:tblPrEx>
          <w:tblCellMar>
            <w:top w:w="0" w:type="dxa"/>
            <w:left w:w="108" w:type="dxa"/>
            <w:bottom w:w="0" w:type="dxa"/>
            <w:right w:w="108" w:type="dxa"/>
          </w:tblCellMar>
        </w:tblPrEx>
        <w:trPr>
          <w:trHeight w:val="571"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419BAC9">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7340ADB7">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项目名称</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6255918E">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叶县辛店镇人民政府叶县2026年辛店镇省、市派第一书记联村共建养殖场基地设备提升项目</w:t>
            </w:r>
          </w:p>
        </w:tc>
      </w:tr>
      <w:tr w14:paraId="2F02D322">
        <w:tblPrEx>
          <w:tblCellMar>
            <w:top w:w="0" w:type="dxa"/>
            <w:left w:w="108" w:type="dxa"/>
            <w:bottom w:w="0" w:type="dxa"/>
            <w:right w:w="108" w:type="dxa"/>
          </w:tblCellMar>
        </w:tblPrEx>
        <w:trPr>
          <w:trHeight w:val="591"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E64B0B3">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1E53158E">
            <w:pPr>
              <w:spacing w:line="40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资金来源和落实情况</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68792D04">
            <w:pPr>
              <w:spacing w:line="400" w:lineRule="exact"/>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财政</w:t>
            </w:r>
            <w:r>
              <w:rPr>
                <w:rFonts w:hint="eastAsia" w:ascii="宋体" w:hAnsi="宋体" w:eastAsia="宋体" w:cs="宋体"/>
                <w:color w:val="000000" w:themeColor="text1"/>
                <w:highlight w:val="none"/>
                <w14:textFill>
                  <w14:solidFill>
                    <w14:schemeClr w14:val="tx1"/>
                  </w14:solidFill>
                </w14:textFill>
              </w:rPr>
              <w:t>资金，已落实</w:t>
            </w:r>
          </w:p>
        </w:tc>
      </w:tr>
      <w:tr w14:paraId="1ED85395">
        <w:tblPrEx>
          <w:tblCellMar>
            <w:top w:w="0" w:type="dxa"/>
            <w:left w:w="108" w:type="dxa"/>
            <w:bottom w:w="0" w:type="dxa"/>
            <w:right w:w="108" w:type="dxa"/>
          </w:tblCellMar>
        </w:tblPrEx>
        <w:trPr>
          <w:trHeight w:val="562"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4E5AA7B">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15976161">
            <w:pPr>
              <w:spacing w:line="40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采购项目属性</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53D4BC54">
            <w:pPr>
              <w:spacing w:line="400" w:lineRule="exact"/>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货物</w:t>
            </w:r>
          </w:p>
        </w:tc>
      </w:tr>
      <w:tr w14:paraId="52CBD536">
        <w:tblPrEx>
          <w:tblCellMar>
            <w:top w:w="0" w:type="dxa"/>
            <w:left w:w="108" w:type="dxa"/>
            <w:bottom w:w="0" w:type="dxa"/>
            <w:right w:w="108" w:type="dxa"/>
          </w:tblCellMar>
        </w:tblPrEx>
        <w:trPr>
          <w:trHeight w:val="9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A411EF5">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5AD75CFD">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采购内容</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7E1FCF09">
            <w:pPr>
              <w:spacing w:line="400" w:lineRule="exact"/>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叶县2026年辛店镇养殖场基地设备提升项目</w:t>
            </w:r>
            <w:r>
              <w:rPr>
                <w:rFonts w:hint="eastAsia" w:ascii="宋体" w:hAnsi="宋体" w:eastAsia="宋体" w:cs="宋体"/>
                <w:color w:val="000000" w:themeColor="text1"/>
                <w:szCs w:val="21"/>
                <w:highlight w:val="none"/>
                <w14:textFill>
                  <w14:solidFill>
                    <w14:schemeClr w14:val="tx1"/>
                  </w14:solidFill>
                </w14:textFill>
              </w:rPr>
              <w:t>，具体内容及要求详见“第四章 采购内容及要求”</w:t>
            </w:r>
          </w:p>
        </w:tc>
      </w:tr>
      <w:tr w14:paraId="38A2C684">
        <w:tblPrEx>
          <w:tblCellMar>
            <w:top w:w="0" w:type="dxa"/>
            <w:left w:w="108" w:type="dxa"/>
            <w:bottom w:w="0" w:type="dxa"/>
            <w:right w:w="108" w:type="dxa"/>
          </w:tblCellMar>
        </w:tblPrEx>
        <w:trPr>
          <w:trHeight w:val="689"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4CA7EDE">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4676366E">
            <w:pPr>
              <w:spacing w:line="40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质量</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60D305F5">
            <w:pPr>
              <w:spacing w:line="400" w:lineRule="exact"/>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符合国家及行业相关规范和标准</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满足采购人要求</w:t>
            </w:r>
          </w:p>
        </w:tc>
      </w:tr>
      <w:tr w14:paraId="23A0DA7B">
        <w:tblPrEx>
          <w:tblCellMar>
            <w:top w:w="0" w:type="dxa"/>
            <w:left w:w="108" w:type="dxa"/>
            <w:bottom w:w="0" w:type="dxa"/>
            <w:right w:w="108" w:type="dxa"/>
          </w:tblCellMar>
        </w:tblPrEx>
        <w:trPr>
          <w:trHeight w:val="699"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872EE65">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7CF76D83">
            <w:pPr>
              <w:spacing w:line="400" w:lineRule="exact"/>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交货</w:t>
            </w:r>
            <w:r>
              <w:rPr>
                <w:rFonts w:hint="eastAsia" w:ascii="宋体" w:hAnsi="宋体" w:eastAsia="宋体" w:cs="宋体"/>
                <w:color w:val="000000" w:themeColor="text1"/>
                <w:highlight w:val="none"/>
                <w:lang w:val="en-US" w:eastAsia="zh-CN"/>
                <w14:textFill>
                  <w14:solidFill>
                    <w14:schemeClr w14:val="tx1"/>
                  </w14:solidFill>
                </w14:textFill>
              </w:rPr>
              <w:t>及安装期</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00098402">
            <w:pPr>
              <w:spacing w:line="400" w:lineRule="exact"/>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60</w:t>
            </w:r>
            <w:r>
              <w:rPr>
                <w:rFonts w:hint="eastAsia" w:ascii="宋体" w:hAnsi="宋体" w:eastAsia="宋体" w:cs="宋体"/>
                <w:color w:val="000000" w:themeColor="text1"/>
                <w:szCs w:val="21"/>
                <w:highlight w:val="none"/>
                <w14:textFill>
                  <w14:solidFill>
                    <w14:schemeClr w14:val="tx1"/>
                  </w14:solidFill>
                </w14:textFill>
              </w:rPr>
              <w:t>日历天内供货、安装、调试完毕</w:t>
            </w:r>
          </w:p>
        </w:tc>
      </w:tr>
      <w:tr w14:paraId="58BE98B0">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4DB271DE">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9</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744054E7">
            <w:pPr>
              <w:spacing w:line="40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交货及安装地点</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5A38F8B6">
            <w:pPr>
              <w:spacing w:line="400" w:lineRule="exact"/>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采购人指定地点</w:t>
            </w:r>
          </w:p>
        </w:tc>
      </w:tr>
      <w:tr w14:paraId="1DC2F697">
        <w:tblPrEx>
          <w:tblCellMar>
            <w:top w:w="0" w:type="dxa"/>
            <w:left w:w="108" w:type="dxa"/>
            <w:bottom w:w="0" w:type="dxa"/>
            <w:right w:w="108" w:type="dxa"/>
          </w:tblCellMar>
        </w:tblPrEx>
        <w:trPr>
          <w:trHeight w:val="49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1DDCC2AB">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46C4517B">
            <w:pPr>
              <w:spacing w:line="40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质保期</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64201DED">
            <w:pPr>
              <w:spacing w:line="400" w:lineRule="exact"/>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年</w:t>
            </w:r>
          </w:p>
        </w:tc>
      </w:tr>
      <w:tr w14:paraId="786FAF14">
        <w:tblPrEx>
          <w:tblCellMar>
            <w:top w:w="0" w:type="dxa"/>
            <w:left w:w="108" w:type="dxa"/>
            <w:bottom w:w="0" w:type="dxa"/>
            <w:right w:w="108" w:type="dxa"/>
          </w:tblCellMar>
        </w:tblPrEx>
        <w:trPr>
          <w:trHeight w:val="416"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06CE09CB">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29253BB0">
            <w:pPr>
              <w:spacing w:line="40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投标人资格要求</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24052085">
            <w:pPr>
              <w:spacing w:line="400" w:lineRule="exact"/>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详见招标公告</w:t>
            </w:r>
          </w:p>
        </w:tc>
      </w:tr>
      <w:tr w14:paraId="1E8BA55C">
        <w:tblPrEx>
          <w:tblCellMar>
            <w:top w:w="0" w:type="dxa"/>
            <w:left w:w="108" w:type="dxa"/>
            <w:bottom w:w="0" w:type="dxa"/>
            <w:right w:w="108" w:type="dxa"/>
          </w:tblCellMar>
        </w:tblPrEx>
        <w:trPr>
          <w:trHeight w:val="647"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340EA98">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74A00CE8">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本项目采购标的所属行业</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30260983">
            <w:pPr>
              <w:spacing w:line="400" w:lineRule="exact"/>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工</w:t>
            </w:r>
            <w:r>
              <w:rPr>
                <w:rFonts w:hint="eastAsia" w:ascii="宋体" w:hAnsi="宋体" w:eastAsia="宋体" w:cs="宋体"/>
                <w:b/>
                <w:bCs/>
                <w:color w:val="000000" w:themeColor="text1"/>
                <w:szCs w:val="21"/>
                <w:highlight w:val="none"/>
                <w14:textFill>
                  <w14:solidFill>
                    <w14:schemeClr w14:val="tx1"/>
                  </w14:solidFill>
                </w14:textFill>
              </w:rPr>
              <w:t>业</w:t>
            </w:r>
          </w:p>
        </w:tc>
      </w:tr>
      <w:tr w14:paraId="3F2746E2">
        <w:tblPrEx>
          <w:tblCellMar>
            <w:top w:w="0" w:type="dxa"/>
            <w:left w:w="108" w:type="dxa"/>
            <w:bottom w:w="0" w:type="dxa"/>
            <w:right w:w="108" w:type="dxa"/>
          </w:tblCellMar>
        </w:tblPrEx>
        <w:trPr>
          <w:trHeight w:val="416"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95705DC">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7033725C">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是否专门面向中小企业</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7EC7F052">
            <w:pPr>
              <w:spacing w:line="400" w:lineRule="exact"/>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否</w:t>
            </w:r>
          </w:p>
        </w:tc>
      </w:tr>
      <w:tr w14:paraId="53DBA510">
        <w:tblPrEx>
          <w:tblCellMar>
            <w:top w:w="0" w:type="dxa"/>
            <w:left w:w="108" w:type="dxa"/>
            <w:bottom w:w="0" w:type="dxa"/>
            <w:right w:w="108" w:type="dxa"/>
          </w:tblCellMar>
        </w:tblPrEx>
        <w:trPr>
          <w:trHeight w:val="416"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101CA8EA">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14</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05883138">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资格审查方式</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7E06D4A4">
            <w:pPr>
              <w:spacing w:line="400" w:lineRule="exact"/>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公开招标采购项目开标结束后，采购人或者采购代理机构依法对投标人的资格进行审查。</w:t>
            </w:r>
          </w:p>
        </w:tc>
      </w:tr>
      <w:tr w14:paraId="20F7E8C7">
        <w:tblPrEx>
          <w:tblCellMar>
            <w:top w:w="0" w:type="dxa"/>
            <w:left w:w="108" w:type="dxa"/>
            <w:bottom w:w="0" w:type="dxa"/>
            <w:right w:w="108" w:type="dxa"/>
          </w:tblCellMar>
        </w:tblPrEx>
        <w:trPr>
          <w:trHeight w:val="416"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75C1403">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15</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035E4EB0">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是否接受联合体投标</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349ED6F4">
            <w:pPr>
              <w:spacing w:line="400" w:lineRule="exact"/>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不接受</w:t>
            </w:r>
          </w:p>
        </w:tc>
      </w:tr>
      <w:tr w14:paraId="6DC3B988">
        <w:tblPrEx>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noWrap w:val="0"/>
            <w:vAlign w:val="center"/>
          </w:tcPr>
          <w:p w14:paraId="2986DC0D">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16</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65D1B4D9">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投标预备会</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0DA9009A">
            <w:pPr>
              <w:spacing w:line="400" w:lineRule="exact"/>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不召开</w:t>
            </w:r>
          </w:p>
        </w:tc>
      </w:tr>
      <w:tr w14:paraId="090C7BEE">
        <w:tblPrEx>
          <w:tblCellMar>
            <w:top w:w="0" w:type="dxa"/>
            <w:left w:w="108" w:type="dxa"/>
            <w:bottom w:w="0" w:type="dxa"/>
            <w:right w:w="108" w:type="dxa"/>
          </w:tblCellMar>
        </w:tblPrEx>
        <w:trPr>
          <w:trHeight w:val="44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BF1B67C">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17</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42CA23FF">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踏勘现场</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6C30CF8B">
            <w:pPr>
              <w:topLinePunct/>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不组织</w:t>
            </w:r>
          </w:p>
        </w:tc>
      </w:tr>
      <w:tr w14:paraId="27B7DBFB">
        <w:tblPrEx>
          <w:tblCellMar>
            <w:top w:w="0" w:type="dxa"/>
            <w:left w:w="108" w:type="dxa"/>
            <w:bottom w:w="0" w:type="dxa"/>
            <w:right w:w="108"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042E30A7">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18</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7898D33F">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分包</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21A26E18">
            <w:pPr>
              <w:keepNext/>
              <w:keepLines/>
              <w:spacing w:line="360" w:lineRule="auto"/>
              <w:jc w:val="left"/>
              <w:outlineLvl w:val="1"/>
              <w:rPr>
                <w:rFonts w:hint="eastAsia" w:ascii="宋体" w:hAnsi="宋体" w:eastAsia="宋体" w:cs="宋体"/>
                <w:color w:val="000000" w:themeColor="text1"/>
                <w:szCs w:val="21"/>
                <w:highlight w:val="none"/>
                <w14:textFill>
                  <w14:solidFill>
                    <w14:schemeClr w14:val="tx1"/>
                  </w14:solidFill>
                </w14:textFill>
              </w:rPr>
            </w:pPr>
            <w:bookmarkStart w:id="63" w:name="_Toc135922536"/>
            <w:r>
              <w:rPr>
                <w:rFonts w:hint="eastAsia" w:ascii="宋体" w:hAnsi="宋体" w:eastAsia="宋体" w:cs="宋体"/>
                <w:color w:val="000000" w:themeColor="text1"/>
                <w:szCs w:val="21"/>
                <w:highlight w:val="none"/>
                <w14:textFill>
                  <w14:solidFill>
                    <w14:schemeClr w14:val="tx1"/>
                  </w14:solidFill>
                </w14:textFill>
              </w:rPr>
              <w:t>不允许</w:t>
            </w:r>
            <w:bookmarkEnd w:id="63"/>
          </w:p>
        </w:tc>
      </w:tr>
      <w:tr w14:paraId="5A4E1AFA">
        <w:tblPrEx>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noWrap w:val="0"/>
            <w:vAlign w:val="center"/>
          </w:tcPr>
          <w:p w14:paraId="082A48DD">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0988121D">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构成招标文件的其他材料</w:t>
            </w:r>
          </w:p>
        </w:tc>
        <w:tc>
          <w:tcPr>
            <w:tcW w:w="5953" w:type="dxa"/>
            <w:tcBorders>
              <w:left w:val="single" w:color="auto" w:sz="4" w:space="0"/>
              <w:bottom w:val="single" w:color="auto" w:sz="4" w:space="0"/>
              <w:right w:val="single" w:color="auto" w:sz="4" w:space="0"/>
            </w:tcBorders>
            <w:noWrap w:val="0"/>
            <w:vAlign w:val="center"/>
          </w:tcPr>
          <w:p w14:paraId="1D880E05">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招标文件澄清、修改、答疑、补遗书、补充通知等</w:t>
            </w:r>
          </w:p>
        </w:tc>
      </w:tr>
      <w:tr w14:paraId="5410A26D">
        <w:tblPrEx>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noWrap w:val="0"/>
            <w:vAlign w:val="center"/>
          </w:tcPr>
          <w:p w14:paraId="1425AAED">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20</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644F4E69">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相同品牌认定</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7CB0FAB3">
            <w:pPr>
              <w:spacing w:line="400" w:lineRule="exact"/>
              <w:rPr>
                <w:rFonts w:hint="eastAsia" w:ascii="宋体" w:hAnsi="宋体" w:eastAsia="宋体" w:cs="宋体"/>
                <w:b/>
                <w:bCs/>
                <w:color w:val="000000" w:themeColor="text1"/>
                <w:szCs w:val="20"/>
                <w:highlight w:val="none"/>
                <w:lang w:eastAsia="zh-CN"/>
                <w14:textFill>
                  <w14:solidFill>
                    <w14:schemeClr w14:val="tx1"/>
                  </w14:solidFill>
                </w14:textFill>
              </w:rPr>
            </w:pPr>
            <w:r>
              <w:rPr>
                <w:rFonts w:hint="eastAsia" w:ascii="宋体" w:hAnsi="宋体" w:eastAsia="宋体" w:cs="宋体"/>
                <w:color w:val="000000" w:themeColor="text1"/>
                <w:szCs w:val="20"/>
                <w:highlight w:val="none"/>
                <w14:textFill>
                  <w14:solidFill>
                    <w14:schemeClr w14:val="tx1"/>
                  </w14:solidFill>
                </w14:textFill>
              </w:rPr>
              <w:t>本项目核心产品：</w:t>
            </w:r>
            <w:r>
              <w:rPr>
                <w:rFonts w:hint="eastAsia" w:ascii="宋体" w:hAnsi="宋体" w:eastAsia="宋体" w:cs="宋体"/>
                <w:color w:val="000000" w:themeColor="text1"/>
                <w:szCs w:val="20"/>
                <w:highlight w:val="none"/>
                <w:lang w:val="en-US" w:eastAsia="zh-CN"/>
                <w14:textFill>
                  <w14:solidFill>
                    <w14:schemeClr w14:val="tx1"/>
                  </w14:solidFill>
                </w14:textFill>
              </w:rPr>
              <w:t>智能分组轮灌水肥一体化灌溉机</w:t>
            </w:r>
          </w:p>
          <w:p w14:paraId="7AA00251">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0"/>
                <w:highlight w:val="none"/>
                <w14:textFill>
                  <w14:solidFill>
                    <w14:schemeClr w14:val="tx1"/>
                  </w14:solidFill>
                </w14:textFill>
              </w:rPr>
              <w:t>核心产品</w:t>
            </w:r>
            <w:r>
              <w:rPr>
                <w:rFonts w:hint="eastAsia" w:ascii="宋体" w:hAnsi="宋体" w:eastAsia="宋体" w:cs="宋体"/>
                <w:color w:val="000000" w:themeColor="text1"/>
                <w:kern w:val="0"/>
                <w:szCs w:val="21"/>
                <w:highlight w:val="none"/>
                <w14:textFill>
                  <w14:solidFill>
                    <w14:schemeClr w14:val="tx1"/>
                  </w14:solidFill>
                </w14:textFill>
              </w:rPr>
              <w:t>提供相同品牌产品且通过资格审查、符合性审查的不同投标人参加同一合同项下投标的，按一家投标人计算，评审后得分最高的同品牌投标人获得中标人推荐资格；评审得分相同的，投标报价低的获得中标人推荐资格；得分且投标报价相同的，采购人委托评标委员会采取随机抽签方式确定，其它同品牌投标人不作为中标候选人。</w:t>
            </w:r>
          </w:p>
        </w:tc>
      </w:tr>
      <w:tr w14:paraId="53CD490D">
        <w:tblPrEx>
          <w:tblCellMar>
            <w:top w:w="0" w:type="dxa"/>
            <w:left w:w="108" w:type="dxa"/>
            <w:bottom w:w="0" w:type="dxa"/>
            <w:right w:w="108" w:type="dxa"/>
          </w:tblCellMar>
        </w:tblPrEx>
        <w:trPr>
          <w:trHeight w:val="273"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1F2C0C33">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21</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4778723B">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投标人要求澄清招标文件</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167B31F0">
            <w:pPr>
              <w:spacing w:line="400" w:lineRule="exact"/>
              <w:ind w:right="-512" w:rightChars="-244"/>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招标文件获取之日起7个工作日内在电子交易系统中提出</w:t>
            </w:r>
          </w:p>
        </w:tc>
      </w:tr>
      <w:tr w14:paraId="75AA9706">
        <w:tblPrEx>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noWrap w:val="0"/>
            <w:vAlign w:val="center"/>
          </w:tcPr>
          <w:p w14:paraId="081C1E53">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22</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4C0E528E">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构成投标文件的其他材料</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4099F245">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招标文件要求提交的其他资料</w:t>
            </w:r>
          </w:p>
        </w:tc>
      </w:tr>
      <w:tr w14:paraId="5B195B51">
        <w:tblPrEx>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noWrap w:val="0"/>
            <w:vAlign w:val="center"/>
          </w:tcPr>
          <w:p w14:paraId="30CF9881">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23</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24CFB852">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接收质疑函的方式和联系方式</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41EEBCBA">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1、质疑提出：</w:t>
            </w:r>
          </w:p>
          <w:p w14:paraId="6F006377">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（1）投标人认为招标文件、采购过程和中标结果使自己的权益受到损害的,可以在知道或者应知其权益受到损害之日起七个工作日内，向采购人、采购代理机构提出质疑。</w:t>
            </w:r>
          </w:p>
          <w:p w14:paraId="5F7397F9">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（2）质疑函的内容、格式：应符合《政府采购质疑和投诉办法》（财政部第94号令）相关规定和财政部门制定的《政府采购质疑函范本》格式。</w:t>
            </w:r>
          </w:p>
          <w:p w14:paraId="503842A4">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（3）投标人应在法定质疑期内一次性提出针对同一采购程序环节的质疑。</w:t>
            </w:r>
          </w:p>
          <w:p w14:paraId="51F0CEB8">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2、接收质疑函的方式、联系部门、联系电话和通讯地址：</w:t>
            </w:r>
          </w:p>
          <w:p w14:paraId="490E9498">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同采购公告采购人和采购代理机构联系人信息。</w:t>
            </w:r>
          </w:p>
          <w:p w14:paraId="1A9CF743">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3、质疑投标人对采购人、采购代理机构的答复不满意，或者采购人、采购代理机构未在规定时间内作出答复的，可以在答复期满后15个工作日内向财政部门提起投诉。</w:t>
            </w:r>
          </w:p>
        </w:tc>
      </w:tr>
      <w:tr w14:paraId="3209BED8">
        <w:tblPrEx>
          <w:tblCellMar>
            <w:top w:w="0" w:type="dxa"/>
            <w:left w:w="108" w:type="dxa"/>
            <w:bottom w:w="0" w:type="dxa"/>
            <w:right w:w="108" w:type="dxa"/>
          </w:tblCellMar>
        </w:tblPrEx>
        <w:trPr>
          <w:trHeight w:val="647"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4BF96F87">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24</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419A4577">
            <w:pPr>
              <w:spacing w:line="400" w:lineRule="exact"/>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最高投标限价</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607A10A2">
            <w:pPr>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lang w:eastAsia="zh-CN"/>
                <w14:textFill>
                  <w14:solidFill>
                    <w14:schemeClr w14:val="tx1"/>
                  </w14:solidFill>
                </w14:textFill>
              </w:rPr>
              <w:t>2100000.00</w:t>
            </w:r>
            <w:r>
              <w:rPr>
                <w:rFonts w:hint="eastAsia" w:ascii="宋体" w:hAnsi="宋体" w:eastAsia="宋体" w:cs="宋体"/>
                <w:b/>
                <w:color w:val="000000" w:themeColor="text1"/>
                <w:highlight w:val="none"/>
                <w14:textFill>
                  <w14:solidFill>
                    <w14:schemeClr w14:val="tx1"/>
                  </w14:solidFill>
                </w14:textFill>
              </w:rPr>
              <w:t>元</w:t>
            </w:r>
          </w:p>
        </w:tc>
      </w:tr>
      <w:tr w14:paraId="731F97C9">
        <w:tblPrEx>
          <w:tblCellMar>
            <w:top w:w="0" w:type="dxa"/>
            <w:left w:w="108" w:type="dxa"/>
            <w:bottom w:w="0" w:type="dxa"/>
            <w:right w:w="108" w:type="dxa"/>
          </w:tblCellMar>
        </w:tblPrEx>
        <w:trPr>
          <w:trHeight w:val="647"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C2BA228">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25</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18688396">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投标有效期</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125A73E1">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投标文件递交截止之日起90日历天</w:t>
            </w:r>
          </w:p>
        </w:tc>
      </w:tr>
      <w:tr w14:paraId="22DAA2F5">
        <w:tblPrEx>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noWrap w:val="0"/>
            <w:vAlign w:val="center"/>
          </w:tcPr>
          <w:p w14:paraId="10BCDF53">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26</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29E1EDC9">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是否允许递交备选投标方案</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1B45A972">
            <w:pPr>
              <w:spacing w:line="400" w:lineRule="exact"/>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否</w:t>
            </w:r>
          </w:p>
        </w:tc>
      </w:tr>
      <w:tr w14:paraId="6A305151">
        <w:tblPrEx>
          <w:tblCellMar>
            <w:top w:w="0" w:type="dxa"/>
            <w:left w:w="108" w:type="dxa"/>
            <w:bottom w:w="0" w:type="dxa"/>
            <w:right w:w="108" w:type="dxa"/>
          </w:tblCellMar>
        </w:tblPrEx>
        <w:trPr>
          <w:trHeight w:val="877"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106C3C8">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27</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22BEEF74">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签字或盖章要求</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7E1DB379">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按招标文件要求在相应位置加盖投标人单位电子印章和法人电子印章。</w:t>
            </w:r>
          </w:p>
        </w:tc>
      </w:tr>
      <w:tr w14:paraId="0CB7D0DF">
        <w:tblPrEx>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noWrap w:val="0"/>
            <w:vAlign w:val="center"/>
          </w:tcPr>
          <w:p w14:paraId="231CD10C">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28</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4AF8B0AB">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投标文件递交</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489FFDE5">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应按招标文件规定编制、提交电子投标文件。加密电子投标文件应在招标文件规定的投标截止时间之前成功提交至《全国公共资源交易平台(河南省·平顶山市)》公共资源交易系统。投标人应充分考虑并预留技术处理和上传数据所需时间。</w:t>
            </w:r>
          </w:p>
        </w:tc>
      </w:tr>
      <w:tr w14:paraId="23CA6C7A">
        <w:tblPrEx>
          <w:tblCellMar>
            <w:top w:w="0" w:type="dxa"/>
            <w:left w:w="108" w:type="dxa"/>
            <w:bottom w:w="0" w:type="dxa"/>
            <w:right w:w="108" w:type="dxa"/>
          </w:tblCellMar>
        </w:tblPrEx>
        <w:trPr>
          <w:trHeight w:val="556"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9DC45CD">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29</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3F9FED74">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投标截止时间</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730192F3">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202</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30</w:t>
            </w:r>
            <w:r>
              <w:rPr>
                <w:rFonts w:hint="eastAsia" w:ascii="宋体" w:hAnsi="宋体" w:eastAsia="宋体" w:cs="宋体"/>
                <w:color w:val="000000" w:themeColor="text1"/>
                <w:szCs w:val="21"/>
                <w:highlight w:val="none"/>
                <w14:textFill>
                  <w14:solidFill>
                    <w14:schemeClr w14:val="tx1"/>
                  </w14:solidFill>
                </w14:textFill>
              </w:rPr>
              <w:t>日</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时</w:t>
            </w:r>
            <w:r>
              <w:rPr>
                <w:rFonts w:hint="eastAsia" w:ascii="宋体" w:hAnsi="宋体" w:cs="宋体"/>
                <w:color w:val="000000" w:themeColor="text1"/>
                <w:szCs w:val="21"/>
                <w:highlight w:val="none"/>
                <w:lang w:val="en-US" w:eastAsia="zh-CN"/>
                <w14:textFill>
                  <w14:solidFill>
                    <w14:schemeClr w14:val="tx1"/>
                  </w14:solidFill>
                </w14:textFill>
              </w:rPr>
              <w:t>30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分（北京时间）</w:t>
            </w:r>
          </w:p>
        </w:tc>
      </w:tr>
      <w:tr w14:paraId="640BE77E">
        <w:tblPrEx>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noWrap w:val="0"/>
            <w:vAlign w:val="center"/>
          </w:tcPr>
          <w:p w14:paraId="0538DEC6">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30</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6D6D1084">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递交投标文件地点</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34C7E4C1">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《全国公共资源交易平台(河南省·平顶山市)》公共资源交易系统</w:t>
            </w:r>
          </w:p>
        </w:tc>
      </w:tr>
      <w:tr w14:paraId="13B2CD42">
        <w:tblPrEx>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noWrap w:val="0"/>
            <w:vAlign w:val="center"/>
          </w:tcPr>
          <w:p w14:paraId="3C2B3886">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31</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181995AF">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是否退还投标文件</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570A18C5">
            <w:pPr>
              <w:topLinePunct/>
              <w:spacing w:line="4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否</w:t>
            </w:r>
          </w:p>
        </w:tc>
      </w:tr>
      <w:tr w14:paraId="11B1BD09">
        <w:tblPrEx>
          <w:tblCellMar>
            <w:top w:w="0" w:type="dxa"/>
            <w:left w:w="108" w:type="dxa"/>
            <w:bottom w:w="0" w:type="dxa"/>
            <w:right w:w="108" w:type="dxa"/>
          </w:tblCellMar>
        </w:tblPrEx>
        <w:trPr>
          <w:trHeight w:val="558" w:hRule="atLeast"/>
        </w:trPr>
        <w:tc>
          <w:tcPr>
            <w:tcW w:w="709" w:type="dxa"/>
            <w:tcBorders>
              <w:top w:val="single" w:color="auto" w:sz="4" w:space="0"/>
              <w:left w:val="single" w:color="auto" w:sz="4" w:space="0"/>
              <w:bottom w:val="nil"/>
              <w:right w:val="single" w:color="auto" w:sz="4" w:space="0"/>
            </w:tcBorders>
            <w:noWrap w:val="0"/>
            <w:vAlign w:val="center"/>
          </w:tcPr>
          <w:p w14:paraId="49890922">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w:t>
            </w:r>
          </w:p>
        </w:tc>
        <w:tc>
          <w:tcPr>
            <w:tcW w:w="2552" w:type="dxa"/>
            <w:tcBorders>
              <w:top w:val="single" w:color="auto" w:sz="4" w:space="0"/>
              <w:left w:val="single" w:color="auto" w:sz="4" w:space="0"/>
              <w:bottom w:val="nil"/>
              <w:right w:val="single" w:color="auto" w:sz="4" w:space="0"/>
            </w:tcBorders>
            <w:noWrap w:val="0"/>
            <w:vAlign w:val="center"/>
          </w:tcPr>
          <w:p w14:paraId="66908C9D">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开标时间和地点</w:t>
            </w:r>
          </w:p>
        </w:tc>
        <w:tc>
          <w:tcPr>
            <w:tcW w:w="5953" w:type="dxa"/>
            <w:tcBorders>
              <w:top w:val="single" w:color="auto" w:sz="4" w:space="0"/>
              <w:left w:val="single" w:color="auto" w:sz="4" w:space="0"/>
              <w:bottom w:val="nil"/>
              <w:right w:val="single" w:color="auto" w:sz="4" w:space="0"/>
            </w:tcBorders>
            <w:noWrap w:val="0"/>
            <w:vAlign w:val="center"/>
          </w:tcPr>
          <w:p w14:paraId="3311A888">
            <w:pPr>
              <w:autoSpaceDE w:val="0"/>
              <w:autoSpaceDN w:val="0"/>
              <w:adjustRightInd w:val="0"/>
              <w:spacing w:before="48"/>
              <w:ind w:right="-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开标时间：同投标截止时间</w:t>
            </w:r>
          </w:p>
          <w:p w14:paraId="1B7E8442">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开标地点：同递交投标文件地点</w:t>
            </w:r>
          </w:p>
        </w:tc>
      </w:tr>
      <w:tr w14:paraId="27A8B334">
        <w:tblPrEx>
          <w:tblCellMar>
            <w:top w:w="0" w:type="dxa"/>
            <w:left w:w="108" w:type="dxa"/>
            <w:bottom w:w="0" w:type="dxa"/>
            <w:right w:w="108" w:type="dxa"/>
          </w:tblCellMar>
        </w:tblPrEx>
        <w:trPr>
          <w:trHeight w:val="381" w:hRule="atLeast"/>
        </w:trPr>
        <w:tc>
          <w:tcPr>
            <w:tcW w:w="709" w:type="dxa"/>
            <w:tcBorders>
              <w:top w:val="single" w:color="auto" w:sz="4" w:space="0"/>
              <w:left w:val="single" w:color="auto" w:sz="4" w:space="0"/>
              <w:bottom w:val="nil"/>
              <w:right w:val="single" w:color="auto" w:sz="4" w:space="0"/>
            </w:tcBorders>
            <w:noWrap w:val="0"/>
            <w:vAlign w:val="center"/>
          </w:tcPr>
          <w:p w14:paraId="441D6C33">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33</w:t>
            </w:r>
          </w:p>
        </w:tc>
        <w:tc>
          <w:tcPr>
            <w:tcW w:w="2552" w:type="dxa"/>
            <w:tcBorders>
              <w:top w:val="single" w:color="auto" w:sz="4" w:space="0"/>
              <w:left w:val="single" w:color="auto" w:sz="4" w:space="0"/>
              <w:bottom w:val="nil"/>
              <w:right w:val="single" w:color="auto" w:sz="4" w:space="0"/>
            </w:tcBorders>
            <w:noWrap w:val="0"/>
            <w:vAlign w:val="center"/>
          </w:tcPr>
          <w:p w14:paraId="645EC2C5">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开标程序</w:t>
            </w:r>
          </w:p>
        </w:tc>
        <w:tc>
          <w:tcPr>
            <w:tcW w:w="5953" w:type="dxa"/>
            <w:tcBorders>
              <w:top w:val="single" w:color="auto" w:sz="4" w:space="0"/>
              <w:left w:val="single" w:color="auto" w:sz="4" w:space="0"/>
              <w:bottom w:val="nil"/>
              <w:right w:val="single" w:color="auto" w:sz="4" w:space="0"/>
            </w:tcBorders>
            <w:noWrap w:val="0"/>
            <w:vAlign w:val="center"/>
          </w:tcPr>
          <w:p w14:paraId="5038A281">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开标时，投标人使用CA证书在规定时间内对其电子投标文件进行解密</w:t>
            </w:r>
            <w:r>
              <w:rPr>
                <w:rFonts w:hint="eastAsia" w:ascii="宋体" w:hAnsi="宋体" w:eastAsia="宋体" w:cs="宋体"/>
                <w:color w:val="000000" w:themeColor="text1"/>
                <w:kern w:val="0"/>
                <w:szCs w:val="21"/>
                <w:highlight w:val="none"/>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采购人（代理机构）操作，对开标结果进行公示</w:t>
            </w:r>
            <w:r>
              <w:rPr>
                <w:rFonts w:hint="eastAsia" w:ascii="宋体" w:hAnsi="宋体" w:eastAsia="宋体" w:cs="宋体"/>
                <w:color w:val="000000" w:themeColor="text1"/>
                <w:kern w:val="0"/>
                <w:szCs w:val="21"/>
                <w:highlight w:val="none"/>
                <w14:textFill>
                  <w14:solidFill>
                    <w14:schemeClr w14:val="tx1"/>
                  </w14:solidFill>
                </w14:textFill>
              </w:rPr>
              <w:t>。</w:t>
            </w:r>
          </w:p>
        </w:tc>
      </w:tr>
      <w:tr w14:paraId="498FC744">
        <w:tblPrEx>
          <w:tblCellMar>
            <w:top w:w="0" w:type="dxa"/>
            <w:left w:w="108" w:type="dxa"/>
            <w:bottom w:w="0" w:type="dxa"/>
            <w:right w:w="108" w:type="dxa"/>
          </w:tblCellMar>
        </w:tblPrEx>
        <w:trPr>
          <w:trHeight w:val="880" w:hRule="atLeast"/>
        </w:trPr>
        <w:tc>
          <w:tcPr>
            <w:tcW w:w="709" w:type="dxa"/>
            <w:tcBorders>
              <w:top w:val="single" w:color="auto" w:sz="4" w:space="0"/>
              <w:left w:val="single" w:color="auto" w:sz="4" w:space="0"/>
              <w:bottom w:val="nil"/>
              <w:right w:val="single" w:color="auto" w:sz="4" w:space="0"/>
            </w:tcBorders>
            <w:noWrap w:val="0"/>
            <w:vAlign w:val="center"/>
          </w:tcPr>
          <w:p w14:paraId="7352711B">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34</w:t>
            </w:r>
          </w:p>
        </w:tc>
        <w:tc>
          <w:tcPr>
            <w:tcW w:w="2552" w:type="dxa"/>
            <w:tcBorders>
              <w:top w:val="single" w:color="auto" w:sz="4" w:space="0"/>
              <w:left w:val="single" w:color="auto" w:sz="4" w:space="0"/>
              <w:bottom w:val="nil"/>
              <w:right w:val="single" w:color="auto" w:sz="4" w:space="0"/>
            </w:tcBorders>
            <w:noWrap w:val="0"/>
            <w:vAlign w:val="center"/>
          </w:tcPr>
          <w:p w14:paraId="4A1D1778">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评标委员会的组建</w:t>
            </w:r>
          </w:p>
        </w:tc>
        <w:tc>
          <w:tcPr>
            <w:tcW w:w="5953" w:type="dxa"/>
            <w:tcBorders>
              <w:top w:val="single" w:color="auto" w:sz="4" w:space="0"/>
              <w:left w:val="single" w:color="auto" w:sz="4" w:space="0"/>
              <w:bottom w:val="nil"/>
              <w:right w:val="single" w:color="auto" w:sz="4" w:space="0"/>
            </w:tcBorders>
            <w:noWrap w:val="0"/>
            <w:vAlign w:val="center"/>
          </w:tcPr>
          <w:p w14:paraId="14DECD34">
            <w:pPr>
              <w:spacing w:line="400" w:lineRule="exact"/>
              <w:ind w:firstLine="210" w:firstLineChars="1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评标委员会由采购人代表和</w:t>
            </w:r>
            <w:r>
              <w:rPr>
                <w:rFonts w:hint="eastAsia" w:ascii="宋体" w:hAnsi="宋体" w:eastAsia="宋体" w:cs="宋体"/>
                <w:color w:val="000000" w:themeColor="text1"/>
                <w:szCs w:val="21"/>
                <w:highlight w:val="none"/>
                <w:lang w:val="en-US" w:eastAsia="zh-CN"/>
                <w14:textFill>
                  <w14:solidFill>
                    <w14:schemeClr w14:val="tx1"/>
                  </w14:solidFill>
                </w14:textFill>
              </w:rPr>
              <w:t>相关技术、经济专家组成</w:t>
            </w:r>
            <w:r>
              <w:rPr>
                <w:rFonts w:hint="eastAsia" w:ascii="宋体" w:hAnsi="宋体" w:eastAsia="宋体" w:cs="宋体"/>
                <w:color w:val="000000" w:themeColor="text1"/>
                <w:szCs w:val="21"/>
                <w:highlight w:val="none"/>
                <w14:textFill>
                  <w14:solidFill>
                    <w14:schemeClr w14:val="tx1"/>
                  </w14:solidFill>
                </w14:textFill>
              </w:rPr>
              <w:t>，成员人数应当为5人以上单数，其中</w:t>
            </w:r>
            <w:r>
              <w:rPr>
                <w:rFonts w:hint="eastAsia" w:ascii="宋体" w:hAnsi="宋体" w:eastAsia="宋体" w:cs="宋体"/>
                <w:color w:val="000000" w:themeColor="text1"/>
                <w:szCs w:val="21"/>
                <w:highlight w:val="none"/>
                <w:lang w:val="en-US" w:eastAsia="zh-CN"/>
                <w14:textFill>
                  <w14:solidFill>
                    <w14:schemeClr w14:val="tx1"/>
                  </w14:solidFill>
                </w14:textFill>
              </w:rPr>
              <w:t>相关技术、经济专家</w:t>
            </w:r>
            <w:r>
              <w:rPr>
                <w:rFonts w:hint="eastAsia" w:ascii="宋体" w:hAnsi="宋体" w:eastAsia="宋体" w:cs="宋体"/>
                <w:color w:val="000000" w:themeColor="text1"/>
                <w:szCs w:val="21"/>
                <w:highlight w:val="none"/>
                <w14:textFill>
                  <w14:solidFill>
                    <w14:schemeClr w14:val="tx1"/>
                  </w14:solidFill>
                </w14:textFill>
              </w:rPr>
              <w:t>不得少于成员总数的三分之二。评标专家确定方式为从专家库中随机抽取。</w:t>
            </w:r>
          </w:p>
          <w:p w14:paraId="001891EB">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备注：上述规定为一组评标专家组成方式，根据项目标段数量和评标工作量，可由多组专家完成评审。</w:t>
            </w:r>
          </w:p>
        </w:tc>
      </w:tr>
      <w:tr w14:paraId="1E2E9A96">
        <w:tblPrEx>
          <w:tblCellMar>
            <w:top w:w="0" w:type="dxa"/>
            <w:left w:w="108" w:type="dxa"/>
            <w:bottom w:w="0" w:type="dxa"/>
            <w:right w:w="108" w:type="dxa"/>
          </w:tblCellMar>
        </w:tblPrEx>
        <w:trPr>
          <w:trHeight w:val="88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19A48DE">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35</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1D236BFD">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是否授权评标委员会确定中标人</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1B863A21">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否，推荐中标候选人数：3名</w:t>
            </w:r>
          </w:p>
        </w:tc>
      </w:tr>
      <w:tr w14:paraId="57E69E24">
        <w:tblPrEx>
          <w:tblCellMar>
            <w:top w:w="0" w:type="dxa"/>
            <w:left w:w="108" w:type="dxa"/>
            <w:bottom w:w="0" w:type="dxa"/>
            <w:right w:w="108" w:type="dxa"/>
          </w:tblCellMar>
        </w:tblPrEx>
        <w:trPr>
          <w:trHeight w:val="88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83DE0E2">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36</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2CD11649">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中标公告媒介及期限</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572773E3">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同招标公告发布媒介，公示期为1个工作日。</w:t>
            </w:r>
          </w:p>
        </w:tc>
      </w:tr>
      <w:tr w14:paraId="53EE56A2">
        <w:tblPrEx>
          <w:tblCellMar>
            <w:top w:w="0" w:type="dxa"/>
            <w:left w:w="108" w:type="dxa"/>
            <w:bottom w:w="0" w:type="dxa"/>
            <w:right w:w="108" w:type="dxa"/>
          </w:tblCellMar>
        </w:tblPrEx>
        <w:trPr>
          <w:trHeight w:val="88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14D45B85">
            <w:pPr>
              <w:spacing w:line="400" w:lineRule="exact"/>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37</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27B7D750">
            <w:pPr>
              <w:spacing w:line="400" w:lineRule="exact"/>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合同签订方式</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71C33E6B">
            <w:pPr>
              <w:spacing w:line="40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招标人（采购人）与中标人（供应商）利用平顶山市公共资源交易平台“合同在线签订模块”，将电子合同推送至对方进行审核，经双方确认均无异议通过后，进行在线签章，完成合同签订并公示。</w:t>
            </w:r>
          </w:p>
        </w:tc>
      </w:tr>
      <w:tr w14:paraId="50CBC4D9">
        <w:tblPrEx>
          <w:tblCellMar>
            <w:top w:w="0" w:type="dxa"/>
            <w:left w:w="108" w:type="dxa"/>
            <w:bottom w:w="0" w:type="dxa"/>
            <w:right w:w="108" w:type="dxa"/>
          </w:tblCellMar>
        </w:tblPrEx>
        <w:trPr>
          <w:trHeight w:val="88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4B541588">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38</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1DF53E47">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履约验收</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77B6E5B5">
            <w:pPr>
              <w:spacing w:line="46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（1）货物到货时，包装必须完好无缺,产品品牌规格型号、产品种类、数量等符合合同要求。</w:t>
            </w:r>
          </w:p>
          <w:p w14:paraId="4ECF5DBF">
            <w:pPr>
              <w:spacing w:line="46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到货后，甲方会同乙方到现场进行清点，清点货物与合同的约定是否相符。货物有丢失或损坏，或者货物的包装、品牌、规格型号等不符合合同约定的，甲方有权要求乙方退回更换或补齐货物，乙方实际交货时间以最终补齐货物时间为准。参与交货验收的单位在货物清单上共同签字。此签单仅作为乙方交货的凭证，不作为乙方货物是否合格的最终依据。若乙方的产品经送检不符合本合同约定或安装后因产品质量问题未能通过验收的，乙方仍应当向甲方承担违约责任。</w:t>
            </w:r>
          </w:p>
          <w:p w14:paraId="433928B0">
            <w:pPr>
              <w:spacing w:line="46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（3）在交货的同时应向甲方提交产品合格证等产品质量证明文件、说明书、保修凭证等相关资料，否则，甲方有权拒绝接受货物。</w:t>
            </w:r>
          </w:p>
          <w:p w14:paraId="6D459D78">
            <w:pPr>
              <w:spacing w:line="46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（4）安装调试：经开箱检查确认一切正常后，由专业安装人员执行安装调试直至达到验收指标（以技术规格要求指标为验收指标）。</w:t>
            </w:r>
          </w:p>
        </w:tc>
      </w:tr>
      <w:tr w14:paraId="253D9A7A">
        <w:tblPrEx>
          <w:tblCellMar>
            <w:top w:w="0" w:type="dxa"/>
            <w:left w:w="108" w:type="dxa"/>
            <w:bottom w:w="0" w:type="dxa"/>
            <w:right w:w="108" w:type="dxa"/>
          </w:tblCellMar>
        </w:tblPrEx>
        <w:trPr>
          <w:trHeight w:val="90" w:hRule="atLeast"/>
        </w:trPr>
        <w:tc>
          <w:tcPr>
            <w:tcW w:w="709" w:type="dxa"/>
            <w:tcBorders>
              <w:top w:val="single" w:color="auto" w:sz="4" w:space="0"/>
              <w:left w:val="single" w:color="auto" w:sz="4" w:space="0"/>
              <w:bottom w:val="nil"/>
              <w:right w:val="single" w:color="auto" w:sz="4" w:space="0"/>
            </w:tcBorders>
            <w:noWrap w:val="0"/>
            <w:vAlign w:val="center"/>
          </w:tcPr>
          <w:p w14:paraId="585B3788">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39</w:t>
            </w:r>
          </w:p>
        </w:tc>
        <w:tc>
          <w:tcPr>
            <w:tcW w:w="2552" w:type="dxa"/>
            <w:tcBorders>
              <w:top w:val="single" w:color="auto" w:sz="4" w:space="0"/>
              <w:left w:val="single" w:color="auto" w:sz="4" w:space="0"/>
              <w:bottom w:val="nil"/>
              <w:right w:val="single" w:color="auto" w:sz="4" w:space="0"/>
            </w:tcBorders>
            <w:noWrap w:val="0"/>
            <w:vAlign w:val="center"/>
          </w:tcPr>
          <w:p w14:paraId="370AD923">
            <w:pPr>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付款方式</w:t>
            </w:r>
          </w:p>
        </w:tc>
        <w:tc>
          <w:tcPr>
            <w:tcW w:w="5953" w:type="dxa"/>
            <w:tcBorders>
              <w:top w:val="single" w:color="auto" w:sz="4" w:space="0"/>
              <w:left w:val="single" w:color="auto" w:sz="4" w:space="0"/>
              <w:bottom w:val="nil"/>
              <w:right w:val="single" w:color="auto" w:sz="4" w:space="0"/>
            </w:tcBorders>
            <w:noWrap w:val="0"/>
            <w:vAlign w:val="center"/>
          </w:tcPr>
          <w:p w14:paraId="439DD9F9">
            <w:pPr>
              <w:spacing w:line="440" w:lineRule="exact"/>
              <w:jc w:val="lef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货物到货验收合格后支付合同金额的30%，剩余70%在安装调试完毕并经甲方最终验收合格后一次性付清。</w:t>
            </w:r>
          </w:p>
        </w:tc>
      </w:tr>
      <w:tr w14:paraId="282EE1B5">
        <w:tblPrEx>
          <w:tblCellMar>
            <w:top w:w="0" w:type="dxa"/>
            <w:left w:w="108" w:type="dxa"/>
            <w:bottom w:w="0" w:type="dxa"/>
            <w:right w:w="108" w:type="dxa"/>
          </w:tblCellMar>
        </w:tblPrEx>
        <w:trPr>
          <w:trHeight w:val="619" w:hRule="atLeast"/>
        </w:trPr>
        <w:tc>
          <w:tcPr>
            <w:tcW w:w="709" w:type="dxa"/>
            <w:vMerge w:val="restart"/>
            <w:tcBorders>
              <w:top w:val="single" w:color="auto" w:sz="4" w:space="0"/>
              <w:left w:val="single" w:color="auto" w:sz="4" w:space="0"/>
              <w:right w:val="single" w:color="auto" w:sz="4" w:space="0"/>
            </w:tcBorders>
            <w:noWrap w:val="0"/>
            <w:vAlign w:val="center"/>
          </w:tcPr>
          <w:p w14:paraId="49815D8E">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40</w:t>
            </w:r>
          </w:p>
        </w:tc>
        <w:tc>
          <w:tcPr>
            <w:tcW w:w="2552" w:type="dxa"/>
            <w:tcBorders>
              <w:top w:val="single" w:color="auto" w:sz="4" w:space="0"/>
              <w:left w:val="single" w:color="auto" w:sz="4" w:space="0"/>
              <w:bottom w:val="nil"/>
              <w:right w:val="single" w:color="auto" w:sz="4" w:space="0"/>
            </w:tcBorders>
            <w:noWrap w:val="0"/>
            <w:vAlign w:val="center"/>
          </w:tcPr>
          <w:p w14:paraId="5698E5C5">
            <w:pPr>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招标文件费</w:t>
            </w:r>
          </w:p>
        </w:tc>
        <w:tc>
          <w:tcPr>
            <w:tcW w:w="5953" w:type="dxa"/>
            <w:tcBorders>
              <w:top w:val="single" w:color="auto" w:sz="4" w:space="0"/>
              <w:left w:val="single" w:color="auto" w:sz="4" w:space="0"/>
              <w:bottom w:val="nil"/>
              <w:right w:val="single" w:color="auto" w:sz="4" w:space="0"/>
            </w:tcBorders>
            <w:noWrap w:val="0"/>
            <w:vAlign w:val="center"/>
          </w:tcPr>
          <w:p w14:paraId="4404018E">
            <w:pPr>
              <w:spacing w:line="440" w:lineRule="exact"/>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不收取</w:t>
            </w:r>
          </w:p>
        </w:tc>
      </w:tr>
      <w:tr w14:paraId="1636B549">
        <w:tblPrEx>
          <w:tblCellMar>
            <w:top w:w="0" w:type="dxa"/>
            <w:left w:w="108" w:type="dxa"/>
            <w:bottom w:w="0" w:type="dxa"/>
            <w:right w:w="108" w:type="dxa"/>
          </w:tblCellMar>
        </w:tblPrEx>
        <w:trPr>
          <w:trHeight w:val="557" w:hRule="atLeast"/>
        </w:trPr>
        <w:tc>
          <w:tcPr>
            <w:tcW w:w="709" w:type="dxa"/>
            <w:vMerge w:val="continue"/>
            <w:tcBorders>
              <w:left w:val="single" w:color="auto" w:sz="4" w:space="0"/>
              <w:right w:val="single" w:color="auto" w:sz="4" w:space="0"/>
            </w:tcBorders>
            <w:noWrap w:val="0"/>
            <w:vAlign w:val="center"/>
          </w:tcPr>
          <w:p w14:paraId="0AFE577E">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2552" w:type="dxa"/>
            <w:tcBorders>
              <w:top w:val="single" w:color="auto" w:sz="4" w:space="0"/>
              <w:left w:val="single" w:color="auto" w:sz="4" w:space="0"/>
              <w:bottom w:val="nil"/>
              <w:right w:val="single" w:color="auto" w:sz="4" w:space="0"/>
            </w:tcBorders>
            <w:noWrap w:val="0"/>
            <w:vAlign w:val="center"/>
          </w:tcPr>
          <w:p w14:paraId="649F14EB">
            <w:pPr>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投标保证金</w:t>
            </w:r>
          </w:p>
        </w:tc>
        <w:tc>
          <w:tcPr>
            <w:tcW w:w="5953" w:type="dxa"/>
            <w:tcBorders>
              <w:top w:val="single" w:color="auto" w:sz="4" w:space="0"/>
              <w:left w:val="single" w:color="auto" w:sz="4" w:space="0"/>
              <w:bottom w:val="nil"/>
              <w:right w:val="single" w:color="auto" w:sz="4" w:space="0"/>
            </w:tcBorders>
            <w:noWrap w:val="0"/>
            <w:vAlign w:val="center"/>
          </w:tcPr>
          <w:p w14:paraId="745CA16A">
            <w:pPr>
              <w:spacing w:line="440" w:lineRule="exact"/>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不收取</w:t>
            </w:r>
          </w:p>
        </w:tc>
      </w:tr>
      <w:tr w14:paraId="33F09486">
        <w:tblPrEx>
          <w:tblCellMar>
            <w:top w:w="0" w:type="dxa"/>
            <w:left w:w="108" w:type="dxa"/>
            <w:bottom w:w="0" w:type="dxa"/>
            <w:right w:w="108" w:type="dxa"/>
          </w:tblCellMar>
        </w:tblPrEx>
        <w:trPr>
          <w:trHeight w:val="551" w:hRule="atLeast"/>
        </w:trPr>
        <w:tc>
          <w:tcPr>
            <w:tcW w:w="709" w:type="dxa"/>
            <w:vMerge w:val="continue"/>
            <w:tcBorders>
              <w:left w:val="single" w:color="auto" w:sz="4" w:space="0"/>
              <w:right w:val="single" w:color="auto" w:sz="4" w:space="0"/>
            </w:tcBorders>
            <w:noWrap w:val="0"/>
            <w:vAlign w:val="center"/>
          </w:tcPr>
          <w:p w14:paraId="698FF85A">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2552" w:type="dxa"/>
            <w:tcBorders>
              <w:top w:val="single" w:color="auto" w:sz="4" w:space="0"/>
              <w:left w:val="single" w:color="auto" w:sz="4" w:space="0"/>
              <w:bottom w:val="nil"/>
              <w:right w:val="single" w:color="auto" w:sz="4" w:space="0"/>
            </w:tcBorders>
            <w:noWrap w:val="0"/>
            <w:vAlign w:val="center"/>
          </w:tcPr>
          <w:p w14:paraId="51C31972">
            <w:pPr>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质量保证金</w:t>
            </w:r>
          </w:p>
        </w:tc>
        <w:tc>
          <w:tcPr>
            <w:tcW w:w="5953" w:type="dxa"/>
            <w:tcBorders>
              <w:top w:val="single" w:color="auto" w:sz="4" w:space="0"/>
              <w:left w:val="single" w:color="auto" w:sz="4" w:space="0"/>
              <w:bottom w:val="nil"/>
              <w:right w:val="single" w:color="auto" w:sz="4" w:space="0"/>
            </w:tcBorders>
            <w:noWrap w:val="0"/>
            <w:vAlign w:val="center"/>
          </w:tcPr>
          <w:p w14:paraId="3300A632">
            <w:pPr>
              <w:spacing w:line="440" w:lineRule="exact"/>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不收取</w:t>
            </w:r>
          </w:p>
        </w:tc>
      </w:tr>
      <w:tr w14:paraId="5214B2FE">
        <w:tblPrEx>
          <w:tblCellMar>
            <w:top w:w="0" w:type="dxa"/>
            <w:left w:w="108" w:type="dxa"/>
            <w:bottom w:w="0" w:type="dxa"/>
            <w:right w:w="108" w:type="dxa"/>
          </w:tblCellMar>
        </w:tblPrEx>
        <w:trPr>
          <w:trHeight w:val="551" w:hRule="atLeast"/>
        </w:trPr>
        <w:tc>
          <w:tcPr>
            <w:tcW w:w="709" w:type="dxa"/>
            <w:vMerge w:val="continue"/>
            <w:tcBorders>
              <w:left w:val="single" w:color="auto" w:sz="4" w:space="0"/>
              <w:bottom w:val="nil"/>
              <w:right w:val="single" w:color="auto" w:sz="4" w:space="0"/>
            </w:tcBorders>
            <w:noWrap w:val="0"/>
            <w:vAlign w:val="center"/>
          </w:tcPr>
          <w:p w14:paraId="2784FD08">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2552" w:type="dxa"/>
            <w:tcBorders>
              <w:top w:val="single" w:color="auto" w:sz="4" w:space="0"/>
              <w:left w:val="single" w:color="auto" w:sz="4" w:space="0"/>
              <w:bottom w:val="nil"/>
              <w:right w:val="single" w:color="auto" w:sz="4" w:space="0"/>
            </w:tcBorders>
            <w:noWrap w:val="0"/>
            <w:vAlign w:val="center"/>
          </w:tcPr>
          <w:p w14:paraId="0695E0AC">
            <w:pPr>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履约保证金</w:t>
            </w:r>
          </w:p>
        </w:tc>
        <w:tc>
          <w:tcPr>
            <w:tcW w:w="5953" w:type="dxa"/>
            <w:tcBorders>
              <w:top w:val="single" w:color="auto" w:sz="4" w:space="0"/>
              <w:left w:val="single" w:color="auto" w:sz="4" w:space="0"/>
              <w:bottom w:val="nil"/>
              <w:right w:val="single" w:color="auto" w:sz="4" w:space="0"/>
            </w:tcBorders>
            <w:noWrap w:val="0"/>
            <w:vAlign w:val="center"/>
          </w:tcPr>
          <w:p w14:paraId="365569C5">
            <w:pPr>
              <w:spacing w:line="440" w:lineRule="exact"/>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不收取</w:t>
            </w:r>
          </w:p>
        </w:tc>
      </w:tr>
      <w:tr w14:paraId="0B046C81">
        <w:tblPrEx>
          <w:tblCellMar>
            <w:top w:w="0" w:type="dxa"/>
            <w:left w:w="108" w:type="dxa"/>
            <w:bottom w:w="0" w:type="dxa"/>
            <w:right w:w="108"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9C88896">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41</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54561DDA">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相关政府采购政策落实情况</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57AE9488">
            <w:pPr>
              <w:spacing w:line="360" w:lineRule="auto"/>
              <w:ind w:left="105" w:leftChars="50" w:firstLine="316" w:firstLineChars="150"/>
              <w:jc w:val="left"/>
              <w:rPr>
                <w:rFonts w:hint="eastAsia" w:ascii="宋体" w:hAnsi="宋体" w:eastAsia="宋体" w:cs="宋体"/>
                <w:b/>
                <w:color w:val="000000" w:themeColor="text1"/>
                <w:kern w:val="0"/>
                <w:szCs w:val="21"/>
                <w:highlight w:val="none"/>
                <w:lang w:bidi="ar"/>
                <w14:textFill>
                  <w14:solidFill>
                    <w14:schemeClr w14:val="tx1"/>
                  </w14:solidFill>
                </w14:textFill>
              </w:rPr>
            </w:pPr>
            <w:r>
              <w:rPr>
                <w:rFonts w:hint="eastAsia" w:ascii="宋体" w:hAnsi="宋体" w:eastAsia="宋体" w:cs="宋体"/>
                <w:b/>
                <w:color w:val="000000" w:themeColor="text1"/>
                <w:kern w:val="0"/>
                <w:szCs w:val="21"/>
                <w:highlight w:val="none"/>
                <w:lang w:bidi="ar"/>
                <w14:textFill>
                  <w14:solidFill>
                    <w14:schemeClr w14:val="tx1"/>
                  </w14:solidFill>
                </w14:textFill>
              </w:rPr>
              <w:t>一、落实四个“一日办”精神：</w:t>
            </w:r>
          </w:p>
          <w:p w14:paraId="77D1E327">
            <w:pPr>
              <w:spacing w:line="360" w:lineRule="auto"/>
              <w:ind w:left="105" w:leftChars="50" w:firstLine="315" w:firstLineChars="150"/>
              <w:jc w:val="left"/>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按照《平顶山市财政局关于压减政府采购各环节时限进一步优化政府采购营商环境的通知》（平财购〔2021〕34号）通知，落实四个“一日办”精神：</w:t>
            </w:r>
          </w:p>
          <w:p w14:paraId="105A1A93">
            <w:pPr>
              <w:spacing w:line="360" w:lineRule="auto"/>
              <w:ind w:left="105" w:leftChars="50" w:firstLine="315" w:firstLineChars="150"/>
              <w:jc w:val="left"/>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（1）在评审结束后1日内确定采购结果，同时对中标单位发出中标或成交通知书，并在网上进行公示公告；</w:t>
            </w:r>
          </w:p>
          <w:p w14:paraId="3BF1C399">
            <w:pPr>
              <w:spacing w:line="360" w:lineRule="auto"/>
              <w:ind w:left="105" w:leftChars="50" w:firstLine="315" w:firstLineChars="150"/>
              <w:jc w:val="left"/>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（2）中标或成交通知书发出后，1日内与中标或成交供应商签订合同，合同签订当日完成合同备案工作；</w:t>
            </w:r>
          </w:p>
          <w:p w14:paraId="5C620E06">
            <w:pPr>
              <w:spacing w:line="360" w:lineRule="auto"/>
              <w:ind w:left="105" w:leftChars="50" w:firstLine="315" w:firstLineChars="150"/>
              <w:jc w:val="left"/>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（3）政府采购项目供应商履约完成后，采购人应在供应商提出验收申请1个工作日内完成验收，同时在平顶山市政府采购网发布验收结果公告；</w:t>
            </w:r>
          </w:p>
          <w:p w14:paraId="5F50A398">
            <w:pPr>
              <w:spacing w:line="360" w:lineRule="auto"/>
              <w:ind w:left="105" w:leftChars="50" w:firstLine="315" w:firstLineChars="150"/>
              <w:jc w:val="left"/>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（4）验收合格具备付款条件的项目，采购人要在1个工作日内按照合同约定支付项目资金。</w:t>
            </w:r>
          </w:p>
          <w:p w14:paraId="602CE14C">
            <w:pPr>
              <w:spacing w:line="360" w:lineRule="auto"/>
              <w:jc w:val="left"/>
              <w:rPr>
                <w:rFonts w:hint="eastAsia" w:ascii="宋体" w:hAnsi="宋体" w:eastAsia="宋体" w:cs="宋体"/>
                <w:b/>
                <w:color w:val="000000" w:themeColor="text1"/>
                <w:kern w:val="0"/>
                <w:szCs w:val="21"/>
                <w:highlight w:val="none"/>
                <w:lang w:bidi="ar"/>
                <w14:textFill>
                  <w14:solidFill>
                    <w14:schemeClr w14:val="tx1"/>
                  </w14:solidFill>
                </w14:textFill>
              </w:rPr>
            </w:pPr>
            <w:r>
              <w:rPr>
                <w:rFonts w:hint="eastAsia" w:ascii="宋体" w:hAnsi="宋体" w:eastAsia="宋体" w:cs="宋体"/>
                <w:b/>
                <w:color w:val="000000" w:themeColor="text1"/>
                <w:kern w:val="0"/>
                <w:szCs w:val="21"/>
                <w:highlight w:val="none"/>
                <w:u w:val="single"/>
                <w:lang w:bidi="ar"/>
                <w14:textFill>
                  <w14:solidFill>
                    <w14:schemeClr w14:val="tx1"/>
                  </w14:solidFill>
                </w14:textFill>
              </w:rPr>
              <w:t>温馨提示：为了不影响中标后及时发布合同公告，请供应商在开标前完成河南省政府采购网企业账号注册。采购人、供应商、代理机构、评审专家等各相关主体须在规定时间内及时在河南省政府采购网网上进行政府采购项目信用评价。</w:t>
            </w:r>
          </w:p>
          <w:p w14:paraId="55EE4C57">
            <w:pPr>
              <w:spacing w:line="360" w:lineRule="auto"/>
              <w:jc w:val="left"/>
              <w:rPr>
                <w:rFonts w:hint="eastAsia" w:ascii="宋体" w:hAnsi="宋体" w:eastAsia="宋体" w:cs="宋体"/>
                <w:b/>
                <w:color w:val="000000" w:themeColor="text1"/>
                <w:kern w:val="0"/>
                <w:szCs w:val="21"/>
                <w:highlight w:val="none"/>
                <w:lang w:bidi="ar"/>
                <w14:textFill>
                  <w14:solidFill>
                    <w14:schemeClr w14:val="tx1"/>
                  </w14:solidFill>
                </w14:textFill>
              </w:rPr>
            </w:pPr>
            <w:r>
              <w:rPr>
                <w:rFonts w:hint="eastAsia" w:ascii="宋体" w:hAnsi="宋体" w:eastAsia="宋体" w:cs="宋体"/>
                <w:b/>
                <w:color w:val="000000" w:themeColor="text1"/>
                <w:kern w:val="0"/>
                <w:szCs w:val="21"/>
                <w:highlight w:val="none"/>
                <w:lang w:bidi="ar"/>
                <w14:textFill>
                  <w14:solidFill>
                    <w14:schemeClr w14:val="tx1"/>
                  </w14:solidFill>
                </w14:textFill>
              </w:rPr>
              <w:t>二、维护企业在政府采购活动中的知情权</w:t>
            </w:r>
          </w:p>
          <w:p w14:paraId="6F71914D">
            <w:pPr>
              <w:keepNext/>
              <w:keepLines/>
              <w:spacing w:line="360" w:lineRule="auto"/>
              <w:ind w:firstLine="315" w:firstLineChars="150"/>
              <w:jc w:val="left"/>
              <w:outlineLvl w:val="1"/>
              <w:rPr>
                <w:rFonts w:hint="eastAsia" w:ascii="宋体" w:hAnsi="宋体" w:eastAsia="宋体" w:cs="宋体"/>
                <w:color w:val="000000" w:themeColor="text1"/>
                <w:kern w:val="0"/>
                <w:szCs w:val="21"/>
                <w:highlight w:val="none"/>
                <w:lang w:bidi="ar"/>
                <w14:textFill>
                  <w14:solidFill>
                    <w14:schemeClr w14:val="tx1"/>
                  </w14:solidFill>
                </w14:textFill>
              </w:rPr>
            </w:pPr>
            <w:bookmarkStart w:id="64" w:name="_Toc135648887"/>
            <w:bookmarkStart w:id="65" w:name="_Toc135922537"/>
            <w:r>
              <w:rPr>
                <w:rFonts w:hint="eastAsia" w:ascii="宋体" w:hAnsi="宋体" w:eastAsia="宋体" w:cs="宋体"/>
                <w:color w:val="000000" w:themeColor="text1"/>
                <w:kern w:val="0"/>
                <w:szCs w:val="21"/>
                <w:highlight w:val="none"/>
                <w:lang w:bidi="ar"/>
                <w14:textFill>
                  <w14:solidFill>
                    <w14:schemeClr w14:val="tx1"/>
                  </w14:solidFill>
                </w14:textFill>
              </w:rPr>
              <w:t>采用公开招标采购方式的政府采购项目，在公告中标结果的同时，对未通过资格审查的投标人，采购人或者采购代理机构应告知其未通过的原因；采用综合评分法评审的，通过发电子邮件方式告知未中标人本人的评审得分与排序。采用竞争性谈判、竞争性招标、询价、单一来源采购方式的政府采购项目，对投标人未实质性响应的文件按无效响应处理的，采购人或者采购代理机构应当告知投标人原因。</w:t>
            </w:r>
            <w:bookmarkEnd w:id="64"/>
            <w:bookmarkEnd w:id="65"/>
          </w:p>
          <w:p w14:paraId="3A66DD82">
            <w:pPr>
              <w:spacing w:line="360" w:lineRule="auto"/>
              <w:ind w:left="105" w:leftChars="50" w:firstLine="316" w:firstLineChars="150"/>
              <w:jc w:val="left"/>
              <w:rPr>
                <w:rFonts w:hint="eastAsia" w:ascii="宋体" w:hAnsi="宋体" w:eastAsia="宋体" w:cs="宋体"/>
                <w:b/>
                <w:color w:val="000000" w:themeColor="text1"/>
                <w:kern w:val="0"/>
                <w:szCs w:val="21"/>
                <w:highlight w:val="none"/>
                <w:lang w:bidi="ar"/>
                <w14:textFill>
                  <w14:solidFill>
                    <w14:schemeClr w14:val="tx1"/>
                  </w14:solidFill>
                </w14:textFill>
              </w:rPr>
            </w:pPr>
            <w:r>
              <w:rPr>
                <w:rFonts w:hint="eastAsia" w:ascii="宋体" w:hAnsi="宋体" w:eastAsia="宋体" w:cs="宋体"/>
                <w:b/>
                <w:color w:val="000000" w:themeColor="text1"/>
                <w:kern w:val="0"/>
                <w:szCs w:val="21"/>
                <w:highlight w:val="none"/>
                <w:lang w:bidi="ar"/>
                <w14:textFill>
                  <w14:solidFill>
                    <w14:schemeClr w14:val="tx1"/>
                  </w14:solidFill>
                </w14:textFill>
              </w:rPr>
              <w:t>三、提供中小企业声明函格式</w:t>
            </w:r>
          </w:p>
          <w:p w14:paraId="0E79255C">
            <w:pPr>
              <w:spacing w:after="120" w:line="360" w:lineRule="auto"/>
              <w:ind w:left="105" w:leftChars="50" w:firstLine="315" w:firstLineChars="150"/>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在采购文件中，采购代理机构应按照财政部、工信部印发的《政府采购促进中小企业发展管理办法》的通知精神（财库〔2020〕46号）提供中小企业声明函格式（附件1）。</w:t>
            </w:r>
          </w:p>
          <w:p w14:paraId="698BB665">
            <w:pPr>
              <w:spacing w:after="120" w:line="360" w:lineRule="auto"/>
              <w:ind w:left="105" w:leftChars="50" w:firstLine="315" w:firstLineChars="150"/>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根据《政府采购促进中小企业发展管理办法》（财库〔2020〕46号）第四条：在政府采购活动中，供应商提供的货物、工程或者服务符合下列情形的，享受本办法规定的中小企业扶持政策：</w:t>
            </w:r>
          </w:p>
          <w:p w14:paraId="1821A8B3">
            <w:pPr>
              <w:spacing w:after="120" w:line="360" w:lineRule="auto"/>
              <w:ind w:left="105" w:leftChars="50" w:firstLine="315" w:firstLineChars="150"/>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（一）在货物采购项目中，货物由中小企业制造，即货物由中小企业生产且使用该中小企业商号或者注册商标；</w:t>
            </w:r>
          </w:p>
          <w:p w14:paraId="2ABA190C">
            <w:pPr>
              <w:spacing w:after="120" w:line="360" w:lineRule="auto"/>
              <w:ind w:left="105" w:leftChars="50" w:firstLine="315" w:firstLineChars="150"/>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（二）在工程采购项目中，工程由中小企业承建，即工程施工单位为中小企业；</w:t>
            </w:r>
          </w:p>
          <w:p w14:paraId="7EC25109">
            <w:pPr>
              <w:spacing w:after="120" w:line="360" w:lineRule="auto"/>
              <w:ind w:left="105" w:leftChars="50" w:firstLine="315" w:firstLineChars="150"/>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（三）在服务采购项目中，服务由中小企业承接，即提供服务的人员为中小企业依照《中华人民共和国劳动合同法》订立劳动合同的从业人员。</w:t>
            </w:r>
          </w:p>
          <w:p w14:paraId="3E3F3003">
            <w:pPr>
              <w:spacing w:after="120" w:line="360" w:lineRule="auto"/>
              <w:ind w:left="105" w:leftChars="50" w:firstLine="315" w:firstLineChars="150"/>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在货物采购项目中，投标人提供的货物既有中小企业制造货物，也有大型企业制造货物的，不享受本办法规定的中小企业扶持政策。</w:t>
            </w:r>
          </w:p>
          <w:p w14:paraId="706AA2A2">
            <w:pPr>
              <w:spacing w:after="120" w:line="360" w:lineRule="auto"/>
              <w:ind w:left="105" w:leftChars="50" w:firstLine="315" w:firstLineChars="150"/>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以联合体形式参加政府采购活动，联合体各方均为中小企业的，联合体视同中小企业。其中，联合体各方均为小微企业的，联合体视同小微企业。</w:t>
            </w:r>
          </w:p>
          <w:p w14:paraId="170A9278">
            <w:pPr>
              <w:spacing w:after="120" w:line="360" w:lineRule="auto"/>
              <w:ind w:left="105" w:leftChars="50" w:firstLine="315" w:firstLineChars="150"/>
              <w:rPr>
                <w:rFonts w:hint="eastAsia" w:ascii="宋体" w:hAnsi="宋体" w:eastAsia="宋体" w:cs="宋体"/>
                <w:color w:val="000000" w:themeColor="text1"/>
                <w:highlight w:val="none"/>
                <w:lang w:bidi="ar"/>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如果一个采购项目包含有多个采购标的，则每个采购标的均应由小微企业制造的，享受办法规定的小微企业扶持政策。</w:t>
            </w:r>
          </w:p>
          <w:p w14:paraId="02856480">
            <w:pPr>
              <w:spacing w:after="120" w:line="360" w:lineRule="auto"/>
              <w:ind w:left="105" w:leftChars="50" w:firstLine="315" w:firstLineChars="150"/>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采购项目包含多种标的物的，货物制造商的相关信息全部列入《中小企业声明函》，并由投标人出具并加盖投标人公章。</w:t>
            </w:r>
          </w:p>
          <w:p w14:paraId="55862911">
            <w:pPr>
              <w:spacing w:after="120" w:line="360" w:lineRule="auto"/>
              <w:ind w:left="105" w:leftChars="50" w:firstLine="315" w:firstLineChars="150"/>
              <w:rPr>
                <w:rFonts w:hint="eastAsia" w:ascii="宋体" w:hAnsi="宋体" w:eastAsia="宋体" w:cs="宋体"/>
                <w:color w:val="000000" w:themeColor="text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任何单位和个人不得要求供应商提供《中小企业声明函》之外的中小企业身份证明文件。</w:t>
            </w:r>
          </w:p>
          <w:p w14:paraId="70706EE7">
            <w:pPr>
              <w:spacing w:line="360" w:lineRule="auto"/>
              <w:ind w:left="105" w:leftChars="50" w:firstLine="316" w:firstLineChars="150"/>
              <w:jc w:val="left"/>
              <w:rPr>
                <w:rFonts w:hint="eastAsia" w:ascii="宋体" w:hAnsi="宋体" w:eastAsia="宋体" w:cs="宋体"/>
                <w:b/>
                <w:color w:val="000000" w:themeColor="text1"/>
                <w:kern w:val="0"/>
                <w:szCs w:val="21"/>
                <w:highlight w:val="none"/>
                <w:lang w:bidi="ar"/>
                <w14:textFill>
                  <w14:solidFill>
                    <w14:schemeClr w14:val="tx1"/>
                  </w14:solidFill>
                </w14:textFill>
              </w:rPr>
            </w:pPr>
            <w:r>
              <w:rPr>
                <w:rFonts w:hint="eastAsia" w:ascii="宋体" w:hAnsi="宋体" w:eastAsia="宋体" w:cs="宋体"/>
                <w:b/>
                <w:color w:val="000000" w:themeColor="text1"/>
                <w:kern w:val="0"/>
                <w:szCs w:val="21"/>
                <w:highlight w:val="none"/>
                <w:lang w:bidi="ar"/>
                <w14:textFill>
                  <w14:solidFill>
                    <w14:schemeClr w14:val="tx1"/>
                  </w14:solidFill>
                </w14:textFill>
              </w:rPr>
              <w:t>四、推广政府采购合同融资</w:t>
            </w:r>
          </w:p>
          <w:p w14:paraId="07ABF872">
            <w:pPr>
              <w:spacing w:after="120" w:line="360" w:lineRule="auto"/>
              <w:ind w:left="105" w:leftChars="50" w:firstLine="315" w:firstLineChars="150"/>
              <w:jc w:val="left"/>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要求采购人和代理机构将“政府采购合同融资告知函”写入招标文件，鼓励中标投标人凭借采购合同申请贷款，助力解决中小企业融资难、融资贵的问题。</w:t>
            </w:r>
          </w:p>
          <w:p w14:paraId="4E13ECE1">
            <w:pPr>
              <w:spacing w:line="360" w:lineRule="auto"/>
              <w:ind w:left="105" w:leftChars="50" w:firstLine="316" w:firstLineChars="150"/>
              <w:jc w:val="left"/>
              <w:rPr>
                <w:rFonts w:hint="eastAsia" w:ascii="宋体" w:hAnsi="宋体" w:eastAsia="宋体" w:cs="宋体"/>
                <w:b/>
                <w:color w:val="000000" w:themeColor="text1"/>
                <w:kern w:val="0"/>
                <w:szCs w:val="21"/>
                <w:highlight w:val="none"/>
                <w:lang w:bidi="ar"/>
                <w14:textFill>
                  <w14:solidFill>
                    <w14:schemeClr w14:val="tx1"/>
                  </w14:solidFill>
                </w14:textFill>
              </w:rPr>
            </w:pPr>
            <w:r>
              <w:rPr>
                <w:rFonts w:hint="eastAsia" w:ascii="宋体" w:hAnsi="宋体" w:eastAsia="宋体" w:cs="宋体"/>
                <w:b/>
                <w:color w:val="000000" w:themeColor="text1"/>
                <w:kern w:val="0"/>
                <w:szCs w:val="21"/>
                <w:highlight w:val="none"/>
                <w:lang w:bidi="ar"/>
                <w14:textFill>
                  <w14:solidFill>
                    <w14:schemeClr w14:val="tx1"/>
                  </w14:solidFill>
                </w14:textFill>
              </w:rPr>
              <w:t>五、落实预留采购份额</w:t>
            </w:r>
          </w:p>
          <w:p w14:paraId="203B6F86">
            <w:pPr>
              <w:keepNext/>
              <w:keepLines/>
              <w:spacing w:line="360" w:lineRule="auto"/>
              <w:ind w:firstLine="315" w:firstLineChars="150"/>
              <w:outlineLvl w:val="1"/>
              <w:rPr>
                <w:rFonts w:hint="eastAsia" w:ascii="宋体" w:hAnsi="宋体" w:eastAsia="宋体" w:cs="宋体"/>
                <w:color w:val="000000" w:themeColor="text1"/>
                <w:kern w:val="0"/>
                <w:szCs w:val="21"/>
                <w:highlight w:val="none"/>
                <w:lang w:bidi="ar"/>
                <w14:textFill>
                  <w14:solidFill>
                    <w14:schemeClr w14:val="tx1"/>
                  </w14:solidFill>
                </w14:textFill>
              </w:rPr>
            </w:pPr>
            <w:bookmarkStart w:id="66" w:name="_Toc135922538"/>
            <w:bookmarkStart w:id="67" w:name="_Toc135648888"/>
            <w:r>
              <w:rPr>
                <w:rFonts w:hint="eastAsia" w:ascii="宋体" w:hAnsi="宋体" w:eastAsia="宋体" w:cs="宋体"/>
                <w:color w:val="000000" w:themeColor="text1"/>
                <w:kern w:val="0"/>
                <w:szCs w:val="21"/>
                <w:highlight w:val="none"/>
                <w:lang w:bidi="ar"/>
                <w14:textFill>
                  <w14:solidFill>
                    <w14:schemeClr w14:val="tx1"/>
                  </w14:solidFill>
                </w14:textFill>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bookmarkEnd w:id="66"/>
            <w:bookmarkEnd w:id="67"/>
          </w:p>
          <w:p w14:paraId="23318994">
            <w:pPr>
              <w:keepNext/>
              <w:keepLines/>
              <w:spacing w:line="360" w:lineRule="auto"/>
              <w:ind w:firstLine="316" w:firstLineChars="150"/>
              <w:outlineLvl w:val="1"/>
              <w:rPr>
                <w:rFonts w:hint="eastAsia" w:ascii="宋体" w:hAnsi="宋体" w:eastAsia="宋体" w:cs="宋体"/>
                <w:b/>
                <w:color w:val="000000" w:themeColor="text1"/>
                <w:kern w:val="0"/>
                <w:szCs w:val="21"/>
                <w:highlight w:val="none"/>
                <w:lang w:bidi="ar"/>
                <w14:textFill>
                  <w14:solidFill>
                    <w14:schemeClr w14:val="tx1"/>
                  </w14:solidFill>
                </w14:textFill>
              </w:rPr>
            </w:pPr>
            <w:bookmarkStart w:id="68" w:name="_Toc135922539"/>
            <w:bookmarkStart w:id="69" w:name="_Toc135648889"/>
            <w:r>
              <w:rPr>
                <w:rFonts w:hint="eastAsia" w:ascii="宋体" w:hAnsi="宋体" w:eastAsia="宋体" w:cs="宋体"/>
                <w:b/>
                <w:color w:val="000000" w:themeColor="text1"/>
                <w:kern w:val="0"/>
                <w:szCs w:val="21"/>
                <w:highlight w:val="none"/>
                <w:lang w:bidi="ar"/>
                <w14:textFill>
                  <w14:solidFill>
                    <w14:schemeClr w14:val="tx1"/>
                  </w14:solidFill>
                </w14:textFill>
              </w:rPr>
              <w:t>六、落实价格评审优惠政策</w:t>
            </w:r>
            <w:bookmarkEnd w:id="68"/>
            <w:bookmarkEnd w:id="69"/>
          </w:p>
          <w:p w14:paraId="7737679C">
            <w:pPr>
              <w:widowControl/>
              <w:spacing w:line="360" w:lineRule="auto"/>
              <w:ind w:firstLine="315" w:firstLineChars="150"/>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w:t>
            </w:r>
          </w:p>
          <w:p w14:paraId="5A913C74">
            <w:pPr>
              <w:widowControl/>
              <w:numPr>
                <w:ilvl w:val="0"/>
                <w:numId w:val="0"/>
              </w:numPr>
              <w:spacing w:line="360" w:lineRule="auto"/>
              <w:ind w:firstLine="316" w:firstLineChars="150"/>
              <w:rPr>
                <w:rFonts w:hint="eastAsia" w:ascii="宋体" w:hAnsi="宋体" w:eastAsia="宋体" w:cs="宋体"/>
                <w:b/>
                <w:bCs/>
                <w:color w:val="000000" w:themeColor="text1"/>
                <w:kern w:val="0"/>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七、</w:t>
            </w:r>
            <w:r>
              <w:rPr>
                <w:rFonts w:hint="eastAsia" w:ascii="宋体" w:hAnsi="宋体" w:eastAsia="宋体" w:cs="宋体"/>
                <w:b/>
                <w:bCs/>
                <w:color w:val="000000" w:themeColor="text1"/>
                <w:kern w:val="0"/>
                <w:szCs w:val="21"/>
                <w:highlight w:val="none"/>
                <w:lang w:val="en-US" w:eastAsia="zh-CN" w:bidi="ar"/>
                <w14:textFill>
                  <w14:solidFill>
                    <w14:schemeClr w14:val="tx1"/>
                  </w14:solidFill>
                </w14:textFill>
              </w:rPr>
              <w:t>落实本国产品政策</w:t>
            </w:r>
          </w:p>
          <w:p w14:paraId="5EC594CE">
            <w:pPr>
              <w:widowControl/>
              <w:numPr>
                <w:ilvl w:val="0"/>
                <w:numId w:val="0"/>
              </w:numPr>
              <w:spacing w:line="360" w:lineRule="auto"/>
              <w:ind w:firstLine="420" w:firstLineChars="200"/>
              <w:rPr>
                <w:rFonts w:hint="eastAsia" w:ascii="宋体" w:hAnsi="宋体" w:eastAsia="宋体" w:cs="宋体"/>
                <w:b w:val="0"/>
                <w:bCs w:val="0"/>
                <w:color w:val="000000" w:themeColor="text1"/>
                <w:kern w:val="0"/>
                <w:szCs w:val="21"/>
                <w:highlight w:val="none"/>
                <w:lang w:val="en-US" w:eastAsia="zh-CN" w:bidi="ar"/>
                <w14:textFill>
                  <w14:solidFill>
                    <w14:schemeClr w14:val="tx1"/>
                  </w14:solidFill>
                </w14:textFill>
              </w:rPr>
            </w:pPr>
            <w:r>
              <w:rPr>
                <w:rFonts w:hint="eastAsia" w:ascii="宋体" w:hAnsi="宋体" w:eastAsia="宋体" w:cs="宋体"/>
                <w:b w:val="0"/>
                <w:bCs w:val="0"/>
                <w:color w:val="000000" w:themeColor="text1"/>
                <w:kern w:val="0"/>
                <w:szCs w:val="21"/>
                <w:highlight w:val="none"/>
                <w:lang w:val="en-US" w:eastAsia="zh-CN" w:bidi="ar"/>
                <w14:textFill>
                  <w14:solidFill>
                    <w14:schemeClr w14:val="tx1"/>
                  </w14:solidFill>
                </w14:textFill>
              </w:rPr>
              <w:t>执行《国务院办公厅关于在政府采购中实施本国产品标准及相关政策的通知》及《关于贯彻落实《国务院办公厅关于在政府采购中实施本国产品标准及相关政策的通知》的意见》（财库〔2025〕30号）。</w:t>
            </w:r>
          </w:p>
          <w:p w14:paraId="5851D350">
            <w:pPr>
              <w:widowControl/>
              <w:numPr>
                <w:ilvl w:val="0"/>
                <w:numId w:val="0"/>
              </w:numPr>
              <w:spacing w:line="360" w:lineRule="auto"/>
              <w:ind w:firstLine="420" w:firstLineChars="200"/>
              <w:rPr>
                <w:rFonts w:hint="eastAsia" w:ascii="宋体" w:hAnsi="宋体" w:eastAsia="宋体" w:cs="宋体"/>
                <w:b w:val="0"/>
                <w:bCs w:val="0"/>
                <w:color w:val="000000" w:themeColor="text1"/>
                <w:kern w:val="0"/>
                <w:szCs w:val="21"/>
                <w:highlight w:val="none"/>
                <w:lang w:val="en-US" w:eastAsia="zh-CN" w:bidi="ar"/>
                <w14:textFill>
                  <w14:solidFill>
                    <w14:schemeClr w14:val="tx1"/>
                  </w14:solidFill>
                </w14:textFill>
              </w:rPr>
            </w:pPr>
            <w:r>
              <w:rPr>
                <w:rFonts w:hint="eastAsia" w:ascii="宋体" w:hAnsi="宋体" w:eastAsia="宋体" w:cs="宋体"/>
                <w:b w:val="0"/>
                <w:bCs w:val="0"/>
                <w:color w:val="000000" w:themeColor="text1"/>
                <w:kern w:val="0"/>
                <w:szCs w:val="21"/>
                <w:highlight w:val="none"/>
                <w:lang w:val="en-US" w:eastAsia="zh-CN" w:bidi="ar"/>
                <w14:textFill>
                  <w14:solidFill>
                    <w14:schemeClr w14:val="tx1"/>
                  </w14:solidFill>
                </w14:textFill>
              </w:rPr>
              <w:t>供应商须在投标文件中提供《关于符合本国产品标准的声明函》，未按要求提交或声明不实，不予享受价格扣除，弄虚作假按无效投标处理。</w:t>
            </w:r>
          </w:p>
        </w:tc>
      </w:tr>
      <w:tr w14:paraId="1DB16F9F">
        <w:tblPrEx>
          <w:tblCellMar>
            <w:top w:w="0" w:type="dxa"/>
            <w:left w:w="108" w:type="dxa"/>
            <w:bottom w:w="0" w:type="dxa"/>
            <w:right w:w="108" w:type="dxa"/>
          </w:tblCellMar>
        </w:tblPrEx>
        <w:trPr>
          <w:trHeight w:val="421"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16FAE0A">
            <w:pPr>
              <w:spacing w:line="400" w:lineRule="exact"/>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42</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5A593B68">
            <w:pPr>
              <w:spacing w:line="360" w:lineRule="auto"/>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招标代理服务费</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4DFDA7A2">
            <w:pPr>
              <w:keepNext w:val="0"/>
              <w:keepLines w:val="0"/>
              <w:pageBreakBefore w:val="0"/>
              <w:kinsoku/>
              <w:wordWrap/>
              <w:overflowPunct/>
              <w:topLinePunct w:val="0"/>
              <w:autoSpaceDE/>
              <w:autoSpaceDN/>
              <w:bidi w:val="0"/>
              <w:spacing w:line="448" w:lineRule="exact"/>
              <w:ind w:firstLine="402" w:firstLineChars="200"/>
              <w:textAlignment w:val="auto"/>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中标人应在中标后向招标代理机构支付招标代理服务费。此项费用由投标人综合考虑到投标报价中，不单独列项报价。中标人</w:t>
            </w:r>
            <w:r>
              <w:rPr>
                <w:rFonts w:hint="eastAsia" w:ascii="宋体" w:hAnsi="宋体" w:cs="宋体"/>
                <w:b/>
                <w:bCs/>
                <w:color w:val="000000" w:themeColor="text1"/>
                <w:sz w:val="20"/>
                <w:szCs w:val="20"/>
                <w:highlight w:val="none"/>
                <w:shd w:val="clear" w:color="auto" w:fill="FFFFFF"/>
                <w14:textFill>
                  <w14:solidFill>
                    <w14:schemeClr w14:val="tx1"/>
                  </w14:solidFill>
                </w14:textFill>
              </w:rPr>
              <w:t>参照《河南省招标代理服务收费指导意见》豫招协【2023】002号规定向招标代理</w:t>
            </w:r>
            <w:r>
              <w:rPr>
                <w:rFonts w:hint="eastAsia" w:ascii="宋体" w:hAnsi="宋体" w:cs="宋体"/>
                <w:b/>
                <w:bCs/>
                <w:color w:val="000000" w:themeColor="text1"/>
                <w:sz w:val="20"/>
                <w:szCs w:val="20"/>
                <w:highlight w:val="none"/>
                <w14:textFill>
                  <w14:solidFill>
                    <w14:schemeClr w14:val="tx1"/>
                  </w14:solidFill>
                </w14:textFill>
              </w:rPr>
              <w:t>机构缴清招标代理服务费。</w:t>
            </w:r>
          </w:p>
          <w:p w14:paraId="54F28307">
            <w:pPr>
              <w:keepNext w:val="0"/>
              <w:keepLines w:val="0"/>
              <w:pageBreakBefore w:val="0"/>
              <w:kinsoku/>
              <w:wordWrap/>
              <w:overflowPunct/>
              <w:topLinePunct w:val="0"/>
              <w:autoSpaceDE/>
              <w:autoSpaceDN/>
              <w:bidi w:val="0"/>
              <w:spacing w:line="448" w:lineRule="exact"/>
              <w:ind w:firstLine="402" w:firstLineChars="200"/>
              <w:textAlignment w:val="auto"/>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注:招标代理服务收费按差额定率累进法计算。</w:t>
            </w:r>
          </w:p>
          <w:tbl>
            <w:tblPr>
              <w:tblStyle w:val="18"/>
              <w:tblW w:w="5638" w:type="dxa"/>
              <w:tblInd w:w="1" w:type="dxa"/>
              <w:shd w:val="clear" w:color="auto" w:fill="FFFFFF"/>
              <w:tblLayout w:type="fixed"/>
              <w:tblCellMar>
                <w:top w:w="15" w:type="dxa"/>
                <w:left w:w="15" w:type="dxa"/>
                <w:bottom w:w="15" w:type="dxa"/>
                <w:right w:w="15" w:type="dxa"/>
              </w:tblCellMar>
            </w:tblPr>
            <w:tblGrid>
              <w:gridCol w:w="3335"/>
              <w:gridCol w:w="704"/>
              <w:gridCol w:w="790"/>
              <w:gridCol w:w="809"/>
            </w:tblGrid>
            <w:tr w14:paraId="031AB569">
              <w:tblPrEx>
                <w:shd w:val="clear" w:color="auto" w:fill="FFFFFF"/>
                <w:tblCellMar>
                  <w:top w:w="15" w:type="dxa"/>
                  <w:left w:w="15" w:type="dxa"/>
                  <w:bottom w:w="15" w:type="dxa"/>
                  <w:right w:w="15" w:type="dxa"/>
                </w:tblCellMar>
              </w:tblPrEx>
              <w:trPr>
                <w:trHeight w:val="919" w:hRule="atLeast"/>
              </w:trPr>
              <w:tc>
                <w:tcPr>
                  <w:tcW w:w="3335"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5E83FCB6">
                  <w:pPr>
                    <w:pStyle w:val="15"/>
                    <w:keepNext w:val="0"/>
                    <w:keepLines w:val="0"/>
                    <w:pageBreakBefore w:val="0"/>
                    <w:kinsoku/>
                    <w:wordWrap/>
                    <w:overflowPunct/>
                    <w:topLinePunct w:val="0"/>
                    <w:autoSpaceDE/>
                    <w:autoSpaceDN/>
                    <w:bidi w:val="0"/>
                    <w:spacing w:before="0" w:beforeAutospacing="0" w:after="0" w:afterAutospacing="0" w:line="448" w:lineRule="exact"/>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费率  项目类型   预算金额（万元）</w:t>
                  </w:r>
                </w:p>
              </w:tc>
              <w:tc>
                <w:tcPr>
                  <w:tcW w:w="704"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77984073">
                  <w:pPr>
                    <w:pStyle w:val="15"/>
                    <w:keepNext w:val="0"/>
                    <w:keepLines w:val="0"/>
                    <w:pageBreakBefore w:val="0"/>
                    <w:kinsoku/>
                    <w:wordWrap/>
                    <w:overflowPunct/>
                    <w:topLinePunct w:val="0"/>
                    <w:autoSpaceDE/>
                    <w:autoSpaceDN/>
                    <w:bidi w:val="0"/>
                    <w:spacing w:before="0" w:beforeAutospacing="0" w:after="0" w:afterAutospacing="0" w:line="448" w:lineRule="exact"/>
                    <w:jc w:val="center"/>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工程</w:t>
                  </w:r>
                </w:p>
              </w:tc>
              <w:tc>
                <w:tcPr>
                  <w:tcW w:w="790"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44B990FD">
                  <w:pPr>
                    <w:pStyle w:val="15"/>
                    <w:keepNext w:val="0"/>
                    <w:keepLines w:val="0"/>
                    <w:pageBreakBefore w:val="0"/>
                    <w:kinsoku/>
                    <w:wordWrap/>
                    <w:overflowPunct/>
                    <w:topLinePunct w:val="0"/>
                    <w:autoSpaceDE/>
                    <w:autoSpaceDN/>
                    <w:bidi w:val="0"/>
                    <w:spacing w:before="0" w:beforeAutospacing="0" w:after="0" w:afterAutospacing="0" w:line="448" w:lineRule="exact"/>
                    <w:jc w:val="center"/>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货物</w:t>
                  </w:r>
                </w:p>
              </w:tc>
              <w:tc>
                <w:tcPr>
                  <w:tcW w:w="809"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4FEE98E5">
                  <w:pPr>
                    <w:pStyle w:val="15"/>
                    <w:keepNext w:val="0"/>
                    <w:keepLines w:val="0"/>
                    <w:pageBreakBefore w:val="0"/>
                    <w:kinsoku/>
                    <w:wordWrap/>
                    <w:overflowPunct/>
                    <w:topLinePunct w:val="0"/>
                    <w:autoSpaceDE/>
                    <w:autoSpaceDN/>
                    <w:bidi w:val="0"/>
                    <w:spacing w:before="0" w:beforeAutospacing="0" w:after="0" w:afterAutospacing="0" w:line="448" w:lineRule="exact"/>
                    <w:jc w:val="center"/>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服务</w:t>
                  </w:r>
                </w:p>
              </w:tc>
            </w:tr>
            <w:tr w14:paraId="6B1B4BA8">
              <w:tblPrEx>
                <w:tblCellMar>
                  <w:top w:w="15" w:type="dxa"/>
                  <w:left w:w="15" w:type="dxa"/>
                  <w:bottom w:w="15" w:type="dxa"/>
                  <w:right w:w="15" w:type="dxa"/>
                </w:tblCellMar>
              </w:tblPrEx>
              <w:trPr>
                <w:trHeight w:val="467" w:hRule="atLeast"/>
              </w:trPr>
              <w:tc>
                <w:tcPr>
                  <w:tcW w:w="3335"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7820B5DE">
                  <w:pPr>
                    <w:pStyle w:val="15"/>
                    <w:keepNext w:val="0"/>
                    <w:keepLines w:val="0"/>
                    <w:pageBreakBefore w:val="0"/>
                    <w:kinsoku/>
                    <w:wordWrap/>
                    <w:overflowPunct/>
                    <w:topLinePunct w:val="0"/>
                    <w:autoSpaceDE/>
                    <w:autoSpaceDN/>
                    <w:bidi w:val="0"/>
                    <w:spacing w:before="0" w:beforeAutospacing="0" w:after="0" w:afterAutospacing="0" w:line="448" w:lineRule="exact"/>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100万元以下（含100万元）</w:t>
                  </w:r>
                </w:p>
              </w:tc>
              <w:tc>
                <w:tcPr>
                  <w:tcW w:w="704"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60CCD44A">
                  <w:pPr>
                    <w:pStyle w:val="15"/>
                    <w:keepNext w:val="0"/>
                    <w:keepLines w:val="0"/>
                    <w:pageBreakBefore w:val="0"/>
                    <w:kinsoku/>
                    <w:wordWrap/>
                    <w:overflowPunct/>
                    <w:topLinePunct w:val="0"/>
                    <w:autoSpaceDE/>
                    <w:autoSpaceDN/>
                    <w:bidi w:val="0"/>
                    <w:spacing w:before="0" w:beforeAutospacing="0" w:after="0" w:afterAutospacing="0" w:line="448" w:lineRule="exact"/>
                    <w:jc w:val="center"/>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1.2%</w:t>
                  </w:r>
                </w:p>
              </w:tc>
              <w:tc>
                <w:tcPr>
                  <w:tcW w:w="790"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56013F8D">
                  <w:pPr>
                    <w:pStyle w:val="15"/>
                    <w:keepNext w:val="0"/>
                    <w:keepLines w:val="0"/>
                    <w:pageBreakBefore w:val="0"/>
                    <w:kinsoku/>
                    <w:wordWrap/>
                    <w:overflowPunct/>
                    <w:topLinePunct w:val="0"/>
                    <w:autoSpaceDE/>
                    <w:autoSpaceDN/>
                    <w:bidi w:val="0"/>
                    <w:spacing w:before="0" w:beforeAutospacing="0" w:after="0" w:afterAutospacing="0" w:line="448" w:lineRule="exact"/>
                    <w:jc w:val="center"/>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1.7%</w:t>
                  </w:r>
                </w:p>
              </w:tc>
              <w:tc>
                <w:tcPr>
                  <w:tcW w:w="809"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1E452EE5">
                  <w:pPr>
                    <w:pStyle w:val="15"/>
                    <w:keepNext w:val="0"/>
                    <w:keepLines w:val="0"/>
                    <w:pageBreakBefore w:val="0"/>
                    <w:kinsoku/>
                    <w:wordWrap/>
                    <w:overflowPunct/>
                    <w:topLinePunct w:val="0"/>
                    <w:autoSpaceDE/>
                    <w:autoSpaceDN/>
                    <w:bidi w:val="0"/>
                    <w:spacing w:before="0" w:beforeAutospacing="0" w:after="0" w:afterAutospacing="0" w:line="448" w:lineRule="exact"/>
                    <w:jc w:val="center"/>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1.7%</w:t>
                  </w:r>
                </w:p>
              </w:tc>
            </w:tr>
            <w:tr w14:paraId="154430D9">
              <w:tblPrEx>
                <w:tblCellMar>
                  <w:top w:w="15" w:type="dxa"/>
                  <w:left w:w="15" w:type="dxa"/>
                  <w:bottom w:w="15" w:type="dxa"/>
                  <w:right w:w="15" w:type="dxa"/>
                </w:tblCellMar>
              </w:tblPrEx>
              <w:trPr>
                <w:trHeight w:val="467" w:hRule="atLeast"/>
              </w:trPr>
              <w:tc>
                <w:tcPr>
                  <w:tcW w:w="3335"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1AB34AAE">
                  <w:pPr>
                    <w:pStyle w:val="15"/>
                    <w:keepNext w:val="0"/>
                    <w:keepLines w:val="0"/>
                    <w:pageBreakBefore w:val="0"/>
                    <w:kinsoku/>
                    <w:wordWrap/>
                    <w:overflowPunct/>
                    <w:topLinePunct w:val="0"/>
                    <w:autoSpaceDE/>
                    <w:autoSpaceDN/>
                    <w:bidi w:val="0"/>
                    <w:spacing w:before="0" w:beforeAutospacing="0" w:after="0" w:afterAutospacing="0" w:line="448" w:lineRule="exact"/>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100-500万元（含500万元）</w:t>
                  </w:r>
                </w:p>
              </w:tc>
              <w:tc>
                <w:tcPr>
                  <w:tcW w:w="704"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35C90F9D">
                  <w:pPr>
                    <w:pStyle w:val="15"/>
                    <w:keepNext w:val="0"/>
                    <w:keepLines w:val="0"/>
                    <w:pageBreakBefore w:val="0"/>
                    <w:kinsoku/>
                    <w:wordWrap/>
                    <w:overflowPunct/>
                    <w:topLinePunct w:val="0"/>
                    <w:autoSpaceDE/>
                    <w:autoSpaceDN/>
                    <w:bidi w:val="0"/>
                    <w:spacing w:before="0" w:beforeAutospacing="0" w:after="0" w:afterAutospacing="0" w:line="448" w:lineRule="exact"/>
                    <w:jc w:val="center"/>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1.0%</w:t>
                  </w:r>
                </w:p>
              </w:tc>
              <w:tc>
                <w:tcPr>
                  <w:tcW w:w="790"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0802A92D">
                  <w:pPr>
                    <w:pStyle w:val="15"/>
                    <w:keepNext w:val="0"/>
                    <w:keepLines w:val="0"/>
                    <w:pageBreakBefore w:val="0"/>
                    <w:kinsoku/>
                    <w:wordWrap/>
                    <w:overflowPunct/>
                    <w:topLinePunct w:val="0"/>
                    <w:autoSpaceDE/>
                    <w:autoSpaceDN/>
                    <w:bidi w:val="0"/>
                    <w:spacing w:before="0" w:beforeAutospacing="0" w:after="0" w:afterAutospacing="0" w:line="448" w:lineRule="exact"/>
                    <w:jc w:val="center"/>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1.2%</w:t>
                  </w:r>
                </w:p>
              </w:tc>
              <w:tc>
                <w:tcPr>
                  <w:tcW w:w="809"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0C0443AD">
                  <w:pPr>
                    <w:pStyle w:val="15"/>
                    <w:keepNext w:val="0"/>
                    <w:keepLines w:val="0"/>
                    <w:pageBreakBefore w:val="0"/>
                    <w:kinsoku/>
                    <w:wordWrap/>
                    <w:overflowPunct/>
                    <w:topLinePunct w:val="0"/>
                    <w:autoSpaceDE/>
                    <w:autoSpaceDN/>
                    <w:bidi w:val="0"/>
                    <w:spacing w:before="0" w:beforeAutospacing="0" w:after="0" w:afterAutospacing="0" w:line="448" w:lineRule="exact"/>
                    <w:jc w:val="center"/>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1.2%</w:t>
                  </w:r>
                </w:p>
              </w:tc>
            </w:tr>
            <w:tr w14:paraId="5E422D1C">
              <w:tblPrEx>
                <w:tblCellMar>
                  <w:top w:w="15" w:type="dxa"/>
                  <w:left w:w="15" w:type="dxa"/>
                  <w:bottom w:w="15" w:type="dxa"/>
                  <w:right w:w="15" w:type="dxa"/>
                </w:tblCellMar>
              </w:tblPrEx>
              <w:trPr>
                <w:trHeight w:val="467" w:hRule="atLeast"/>
              </w:trPr>
              <w:tc>
                <w:tcPr>
                  <w:tcW w:w="3335"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464E507F">
                  <w:pPr>
                    <w:pStyle w:val="15"/>
                    <w:keepNext w:val="0"/>
                    <w:keepLines w:val="0"/>
                    <w:pageBreakBefore w:val="0"/>
                    <w:kinsoku/>
                    <w:wordWrap/>
                    <w:overflowPunct/>
                    <w:topLinePunct w:val="0"/>
                    <w:autoSpaceDE/>
                    <w:autoSpaceDN/>
                    <w:bidi w:val="0"/>
                    <w:spacing w:before="0" w:beforeAutospacing="0" w:after="0" w:afterAutospacing="0" w:line="448" w:lineRule="exact"/>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500-1000万元（含1000万元）</w:t>
                  </w:r>
                </w:p>
              </w:tc>
              <w:tc>
                <w:tcPr>
                  <w:tcW w:w="704"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63CFF86A">
                  <w:pPr>
                    <w:pStyle w:val="15"/>
                    <w:keepNext w:val="0"/>
                    <w:keepLines w:val="0"/>
                    <w:pageBreakBefore w:val="0"/>
                    <w:kinsoku/>
                    <w:wordWrap/>
                    <w:overflowPunct/>
                    <w:topLinePunct w:val="0"/>
                    <w:autoSpaceDE/>
                    <w:autoSpaceDN/>
                    <w:bidi w:val="0"/>
                    <w:spacing w:before="0" w:beforeAutospacing="0" w:after="0" w:afterAutospacing="0" w:line="448" w:lineRule="exact"/>
                    <w:jc w:val="center"/>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0.7%</w:t>
                  </w:r>
                </w:p>
              </w:tc>
              <w:tc>
                <w:tcPr>
                  <w:tcW w:w="790"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3AB52BB1">
                  <w:pPr>
                    <w:pStyle w:val="15"/>
                    <w:keepNext w:val="0"/>
                    <w:keepLines w:val="0"/>
                    <w:pageBreakBefore w:val="0"/>
                    <w:kinsoku/>
                    <w:wordWrap/>
                    <w:overflowPunct/>
                    <w:topLinePunct w:val="0"/>
                    <w:autoSpaceDE/>
                    <w:autoSpaceDN/>
                    <w:bidi w:val="0"/>
                    <w:spacing w:before="0" w:beforeAutospacing="0" w:after="0" w:afterAutospacing="0" w:line="448" w:lineRule="exact"/>
                    <w:jc w:val="center"/>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0.8%</w:t>
                  </w:r>
                </w:p>
              </w:tc>
              <w:tc>
                <w:tcPr>
                  <w:tcW w:w="809"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0CF0DCF3">
                  <w:pPr>
                    <w:pStyle w:val="15"/>
                    <w:keepNext w:val="0"/>
                    <w:keepLines w:val="0"/>
                    <w:pageBreakBefore w:val="0"/>
                    <w:kinsoku/>
                    <w:wordWrap/>
                    <w:overflowPunct/>
                    <w:topLinePunct w:val="0"/>
                    <w:autoSpaceDE/>
                    <w:autoSpaceDN/>
                    <w:bidi w:val="0"/>
                    <w:spacing w:before="0" w:beforeAutospacing="0" w:after="0" w:afterAutospacing="0" w:line="448" w:lineRule="exact"/>
                    <w:jc w:val="center"/>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0.7%</w:t>
                  </w:r>
                </w:p>
              </w:tc>
            </w:tr>
            <w:tr w14:paraId="066C2649">
              <w:tblPrEx>
                <w:tblCellMar>
                  <w:top w:w="15" w:type="dxa"/>
                  <w:left w:w="15" w:type="dxa"/>
                  <w:bottom w:w="15" w:type="dxa"/>
                  <w:right w:w="15" w:type="dxa"/>
                </w:tblCellMar>
              </w:tblPrEx>
              <w:trPr>
                <w:trHeight w:val="482" w:hRule="atLeast"/>
              </w:trPr>
              <w:tc>
                <w:tcPr>
                  <w:tcW w:w="3335"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03558BF3">
                  <w:pPr>
                    <w:pStyle w:val="15"/>
                    <w:keepNext w:val="0"/>
                    <w:keepLines w:val="0"/>
                    <w:pageBreakBefore w:val="0"/>
                    <w:kinsoku/>
                    <w:wordWrap/>
                    <w:overflowPunct/>
                    <w:topLinePunct w:val="0"/>
                    <w:autoSpaceDE/>
                    <w:autoSpaceDN/>
                    <w:bidi w:val="0"/>
                    <w:spacing w:before="0" w:beforeAutospacing="0" w:after="0" w:afterAutospacing="0" w:line="448" w:lineRule="exact"/>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1000-5000万元（含5000万元）</w:t>
                  </w:r>
                </w:p>
              </w:tc>
              <w:tc>
                <w:tcPr>
                  <w:tcW w:w="704"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0C3B3DF2">
                  <w:pPr>
                    <w:pStyle w:val="15"/>
                    <w:keepNext w:val="0"/>
                    <w:keepLines w:val="0"/>
                    <w:pageBreakBefore w:val="0"/>
                    <w:kinsoku/>
                    <w:wordWrap/>
                    <w:overflowPunct/>
                    <w:topLinePunct w:val="0"/>
                    <w:autoSpaceDE/>
                    <w:autoSpaceDN/>
                    <w:bidi w:val="0"/>
                    <w:spacing w:before="0" w:beforeAutospacing="0" w:after="0" w:afterAutospacing="0" w:line="448" w:lineRule="exact"/>
                    <w:jc w:val="center"/>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0.4%</w:t>
                  </w:r>
                </w:p>
              </w:tc>
              <w:tc>
                <w:tcPr>
                  <w:tcW w:w="790"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363CE105">
                  <w:pPr>
                    <w:pStyle w:val="15"/>
                    <w:keepNext w:val="0"/>
                    <w:keepLines w:val="0"/>
                    <w:pageBreakBefore w:val="0"/>
                    <w:kinsoku/>
                    <w:wordWrap/>
                    <w:overflowPunct/>
                    <w:topLinePunct w:val="0"/>
                    <w:autoSpaceDE/>
                    <w:autoSpaceDN/>
                    <w:bidi w:val="0"/>
                    <w:spacing w:before="0" w:beforeAutospacing="0" w:after="0" w:afterAutospacing="0" w:line="448" w:lineRule="exact"/>
                    <w:jc w:val="center"/>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0.5%</w:t>
                  </w:r>
                </w:p>
              </w:tc>
              <w:tc>
                <w:tcPr>
                  <w:tcW w:w="809" w:type="dxa"/>
                  <w:tcBorders>
                    <w:top w:val="single" w:color="DCDCDC" w:sz="6" w:space="0"/>
                    <w:left w:val="single" w:color="DCDCDC" w:sz="6" w:space="0"/>
                    <w:bottom w:val="single" w:color="DCDCDC" w:sz="6" w:space="0"/>
                    <w:right w:val="single" w:color="DCDCDC" w:sz="6" w:space="0"/>
                  </w:tcBorders>
                  <w:shd w:val="clear" w:color="auto" w:fill="FFFFFF"/>
                  <w:noWrap w:val="0"/>
                  <w:tcMar>
                    <w:top w:w="0" w:type="dxa"/>
                    <w:left w:w="105" w:type="dxa"/>
                    <w:bottom w:w="0" w:type="dxa"/>
                    <w:right w:w="105" w:type="dxa"/>
                  </w:tcMar>
                  <w:vAlign w:val="top"/>
                </w:tcPr>
                <w:p w14:paraId="607846C1">
                  <w:pPr>
                    <w:pStyle w:val="15"/>
                    <w:keepNext w:val="0"/>
                    <w:keepLines w:val="0"/>
                    <w:pageBreakBefore w:val="0"/>
                    <w:kinsoku/>
                    <w:wordWrap/>
                    <w:overflowPunct/>
                    <w:topLinePunct w:val="0"/>
                    <w:autoSpaceDE/>
                    <w:autoSpaceDN/>
                    <w:bidi w:val="0"/>
                    <w:spacing w:before="0" w:beforeAutospacing="0" w:after="0" w:afterAutospacing="0" w:line="448" w:lineRule="exact"/>
                    <w:jc w:val="center"/>
                    <w:textAlignment w:val="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0.4%</w:t>
                  </w:r>
                </w:p>
              </w:tc>
            </w:tr>
          </w:tbl>
          <w:p w14:paraId="0B67031A">
            <w:pPr>
              <w:autoSpaceDE w:val="0"/>
              <w:autoSpaceDN w:val="0"/>
              <w:adjustRightInd w:val="0"/>
              <w:spacing w:line="360" w:lineRule="auto"/>
              <w:rPr>
                <w:rFonts w:hint="eastAsia" w:ascii="宋体" w:hAnsi="宋体" w:eastAsia="宋体" w:cs="宋体"/>
                <w:color w:val="000000" w:themeColor="text1"/>
                <w:kern w:val="0"/>
                <w:szCs w:val="21"/>
                <w:highlight w:val="none"/>
                <w14:textFill>
                  <w14:solidFill>
                    <w14:schemeClr w14:val="tx1"/>
                  </w14:solidFill>
                </w14:textFill>
              </w:rPr>
            </w:pPr>
          </w:p>
        </w:tc>
      </w:tr>
      <w:tr w14:paraId="7F8437C6">
        <w:tblPrEx>
          <w:tblCellMar>
            <w:top w:w="0" w:type="dxa"/>
            <w:left w:w="108" w:type="dxa"/>
            <w:bottom w:w="0" w:type="dxa"/>
            <w:right w:w="108" w:type="dxa"/>
          </w:tblCellMar>
        </w:tblPrEx>
        <w:trPr>
          <w:trHeight w:val="408"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73EFE31">
            <w:pPr>
              <w:spacing w:line="400" w:lineRule="exact"/>
              <w:jc w:val="center"/>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43</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3191AC3C">
            <w:pPr>
              <w:spacing w:line="360" w:lineRule="auto"/>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是否采用电子招标投标</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375256AB">
            <w:pPr>
              <w:autoSpaceDE w:val="0"/>
              <w:autoSpaceDN w:val="0"/>
              <w:adjustRightInd w:val="0"/>
              <w:spacing w:line="360" w:lineRule="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是</w:t>
            </w:r>
          </w:p>
        </w:tc>
      </w:tr>
      <w:tr w14:paraId="61725209">
        <w:tblPrEx>
          <w:tblCellMar>
            <w:top w:w="0" w:type="dxa"/>
            <w:left w:w="108" w:type="dxa"/>
            <w:bottom w:w="0" w:type="dxa"/>
            <w:right w:w="108" w:type="dxa"/>
          </w:tblCellMar>
        </w:tblPrEx>
        <w:trPr>
          <w:trHeight w:val="408"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5197D13">
            <w:pPr>
              <w:spacing w:line="400" w:lineRule="exact"/>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44</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5BD36FC4">
            <w:pPr>
              <w:spacing w:line="360" w:lineRule="auto"/>
              <w:jc w:val="center"/>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合同履行期限</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114A08EE">
            <w:pPr>
              <w:autoSpaceDE w:val="0"/>
              <w:autoSpaceDN w:val="0"/>
              <w:adjustRightInd w:val="0"/>
              <w:spacing w:line="360" w:lineRule="auto"/>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自合同签订之日起至合同约定全部内容完成之日止</w:t>
            </w:r>
          </w:p>
        </w:tc>
      </w:tr>
      <w:tr w14:paraId="6A8081C1">
        <w:tblPrEx>
          <w:tblCellMar>
            <w:top w:w="0" w:type="dxa"/>
            <w:left w:w="108" w:type="dxa"/>
            <w:bottom w:w="0" w:type="dxa"/>
            <w:right w:w="108" w:type="dxa"/>
          </w:tblCellMar>
        </w:tblPrEx>
        <w:trPr>
          <w:trHeight w:val="29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59EEBF0">
            <w:pPr>
              <w:spacing w:line="400" w:lineRule="exact"/>
              <w:jc w:val="center"/>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kern w:val="0"/>
                <w:szCs w:val="21"/>
                <w:highlight w:val="none"/>
                <w:lang w:val="en-US" w:eastAsia="zh-CN"/>
                <w14:textFill>
                  <w14:solidFill>
                    <w14:schemeClr w14:val="tx1"/>
                  </w14:solidFill>
                </w14:textFill>
              </w:rPr>
              <w:t>45</w:t>
            </w:r>
          </w:p>
        </w:tc>
        <w:tc>
          <w:tcPr>
            <w:tcW w:w="8505" w:type="dxa"/>
            <w:gridSpan w:val="2"/>
            <w:tcBorders>
              <w:top w:val="single" w:color="auto" w:sz="4" w:space="0"/>
              <w:left w:val="single" w:color="auto" w:sz="4" w:space="0"/>
              <w:bottom w:val="single" w:color="auto" w:sz="4" w:space="0"/>
              <w:right w:val="single" w:color="auto" w:sz="4" w:space="0"/>
            </w:tcBorders>
            <w:noWrap w:val="0"/>
            <w:vAlign w:val="center"/>
          </w:tcPr>
          <w:p w14:paraId="714CA66F">
            <w:pPr>
              <w:spacing w:line="400" w:lineRule="exact"/>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需要补充的其他内容</w:t>
            </w:r>
          </w:p>
        </w:tc>
      </w:tr>
      <w:tr w14:paraId="6728BCEA">
        <w:tblPrEx>
          <w:tblCellMar>
            <w:top w:w="0" w:type="dxa"/>
            <w:left w:w="108" w:type="dxa"/>
            <w:bottom w:w="0" w:type="dxa"/>
            <w:right w:w="108" w:type="dxa"/>
          </w:tblCellMar>
        </w:tblPrEx>
        <w:trPr>
          <w:trHeight w:val="1839" w:hRule="atLeast"/>
        </w:trPr>
        <w:tc>
          <w:tcPr>
            <w:tcW w:w="9214" w:type="dxa"/>
            <w:gridSpan w:val="3"/>
            <w:tcBorders>
              <w:top w:val="single" w:color="auto" w:sz="4" w:space="0"/>
              <w:left w:val="single" w:color="auto" w:sz="4" w:space="0"/>
              <w:bottom w:val="single" w:color="auto" w:sz="4" w:space="0"/>
              <w:right w:val="single" w:color="auto" w:sz="4" w:space="0"/>
            </w:tcBorders>
            <w:noWrap w:val="0"/>
            <w:vAlign w:val="center"/>
          </w:tcPr>
          <w:p w14:paraId="27F59F85">
            <w:pPr>
              <w:spacing w:line="360" w:lineRule="auto"/>
              <w:ind w:firstLine="422" w:firstLineChars="2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其他需要说明事项</w:t>
            </w:r>
          </w:p>
          <w:p w14:paraId="5688805E">
            <w:pPr>
              <w:spacing w:line="360" w:lineRule="auto"/>
              <w:ind w:firstLine="409" w:firstLineChars="19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依据《河南省财政厅关于防范供应商串通投标促进政府采购公平竞争的通知》豫财购﹝2021﹞6号文件，参与同一个标段（包）的供应商存在下列情形之一的，其投标（响应）文件无效：</w:t>
            </w:r>
          </w:p>
          <w:p w14:paraId="0DFB8D45">
            <w:pPr>
              <w:spacing w:line="360" w:lineRule="auto"/>
              <w:ind w:firstLine="409" w:firstLineChars="19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（1）不同供应商的电子投标（响应）文件上传计算机的网卡MAC地址、CPU序列号和硬盘序列号等硬件信息相同的；</w:t>
            </w:r>
          </w:p>
          <w:p w14:paraId="77AF568D">
            <w:pPr>
              <w:spacing w:line="360" w:lineRule="auto"/>
              <w:ind w:firstLine="409" w:firstLineChars="19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（2）不同供应商的投标（响应）文件由同一电子设备编制、打印加密或者上传：</w:t>
            </w:r>
          </w:p>
          <w:p w14:paraId="50E439C9">
            <w:pPr>
              <w:spacing w:line="360" w:lineRule="auto"/>
              <w:ind w:firstLine="409" w:firstLineChars="19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（3）不同供应商的投标（响应）文件由同一电子设备打印、复印；</w:t>
            </w:r>
          </w:p>
          <w:p w14:paraId="0D9F31C2">
            <w:pPr>
              <w:spacing w:line="360" w:lineRule="auto"/>
              <w:ind w:firstLine="409" w:firstLineChars="19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（4）不同供应商的投标（响应）文件由同一人送达或者分发，或者不同供应商联系人为同一人或不同联系人的联系电话一致的；</w:t>
            </w:r>
          </w:p>
          <w:p w14:paraId="3BBE9506">
            <w:pPr>
              <w:spacing w:line="360" w:lineRule="auto"/>
              <w:ind w:firstLine="409" w:firstLineChars="19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（5）不同供应商的投标（响应）文件的内容存在两处以上细节错误一致：</w:t>
            </w:r>
          </w:p>
          <w:p w14:paraId="5C82B5D1">
            <w:pPr>
              <w:spacing w:line="360" w:lineRule="auto"/>
              <w:ind w:firstLine="409" w:firstLineChars="19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（6）不同供应商的法定代表人、委托代理人、项目经理、项目负责人等由同一个单位缴纳社会保险或者领取报酬的；</w:t>
            </w:r>
          </w:p>
          <w:p w14:paraId="4C434F98">
            <w:pPr>
              <w:spacing w:line="360" w:lineRule="auto"/>
              <w:ind w:firstLine="409" w:firstLineChars="19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（7）不同供应商投标（响应）文件中法定代表人或者负责人签字出自同一人之手；</w:t>
            </w:r>
          </w:p>
          <w:p w14:paraId="40FEA4B2">
            <w:pPr>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（8）其它涉嫌串通的情形。</w:t>
            </w:r>
          </w:p>
        </w:tc>
      </w:tr>
    </w:tbl>
    <w:p w14:paraId="1AAEB611">
      <w:pPr>
        <w:rPr>
          <w:rFonts w:hint="eastAsia" w:ascii="宋体" w:hAnsi="宋体" w:eastAsia="宋体" w:cs="宋体"/>
          <w:color w:val="000000" w:themeColor="text1"/>
          <w:highlight w:val="none"/>
          <w14:textFill>
            <w14:solidFill>
              <w14:schemeClr w14:val="tx1"/>
            </w14:solidFill>
          </w14:textFill>
        </w:rPr>
      </w:pPr>
      <w:bookmarkStart w:id="70" w:name="_Toc2591"/>
      <w:bookmarkStart w:id="71" w:name="_Toc246996918"/>
      <w:bookmarkStart w:id="72" w:name="_Toc247085689"/>
      <w:bookmarkStart w:id="73" w:name="_Toc152042305"/>
      <w:bookmarkStart w:id="74" w:name="_Toc18614"/>
      <w:bookmarkStart w:id="75" w:name="_Toc246996175"/>
      <w:bookmarkStart w:id="76" w:name="_Toc179632546"/>
      <w:bookmarkStart w:id="77" w:name="_Toc144974497"/>
      <w:bookmarkStart w:id="78" w:name="_Toc152045529"/>
      <w:bookmarkStart w:id="79" w:name="_Toc3696"/>
    </w:p>
    <w:p w14:paraId="2C95A9F5">
      <w:pPr>
        <w:keepNext/>
        <w:keepLines/>
        <w:pageBreakBefore w:val="0"/>
        <w:widowControl w:val="0"/>
        <w:kinsoku/>
        <w:wordWrap/>
        <w:overflowPunct/>
        <w:topLinePunct w:val="0"/>
        <w:autoSpaceDE/>
        <w:autoSpaceDN/>
        <w:bidi w:val="0"/>
        <w:adjustRightInd/>
        <w:snapToGrid/>
        <w:spacing w:line="412" w:lineRule="auto"/>
        <w:textAlignment w:val="auto"/>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r>
        <w:rPr>
          <w:rFonts w:hint="eastAsia" w:ascii="宋体" w:hAnsi="宋体" w:eastAsia="宋体" w:cs="宋体"/>
          <w:b/>
          <w:bCs/>
          <w:color w:val="000000" w:themeColor="text1"/>
          <w:kern w:val="0"/>
          <w:sz w:val="32"/>
          <w:szCs w:val="32"/>
          <w:highlight w:val="none"/>
          <w14:textFill>
            <w14:solidFill>
              <w14:schemeClr w14:val="tx1"/>
            </w14:solidFill>
          </w14:textFill>
        </w:rPr>
        <w:t>1. 总则</w:t>
      </w:r>
      <w:bookmarkEnd w:id="70"/>
      <w:bookmarkEnd w:id="71"/>
      <w:bookmarkEnd w:id="72"/>
      <w:bookmarkEnd w:id="73"/>
      <w:bookmarkEnd w:id="74"/>
      <w:bookmarkEnd w:id="75"/>
      <w:bookmarkEnd w:id="76"/>
      <w:bookmarkEnd w:id="77"/>
      <w:bookmarkEnd w:id="78"/>
      <w:bookmarkEnd w:id="79"/>
    </w:p>
    <w:p w14:paraId="47CF91B9">
      <w:pPr>
        <w:keepNext/>
        <w:keepLines/>
        <w:pageBreakBefore w:val="0"/>
        <w:widowControl w:val="0"/>
        <w:kinsoku/>
        <w:wordWrap/>
        <w:overflowPunct/>
        <w:topLinePunct w:val="0"/>
        <w:autoSpaceDE/>
        <w:autoSpaceDN/>
        <w:bidi w:val="0"/>
        <w:adjustRightInd/>
        <w:snapToGrid/>
        <w:spacing w:line="376"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80" w:name="_Toc415819196"/>
      <w:bookmarkStart w:id="81" w:name="_Toc152045530"/>
      <w:bookmarkStart w:id="82" w:name="_Toc247085690"/>
      <w:bookmarkStart w:id="83" w:name="_Toc246996919"/>
      <w:bookmarkStart w:id="84" w:name="_Toc135648890"/>
      <w:bookmarkStart w:id="85" w:name="_Toc417333969"/>
      <w:bookmarkStart w:id="86" w:name="_Toc40708375"/>
      <w:bookmarkStart w:id="87" w:name="_Toc135922540"/>
      <w:bookmarkStart w:id="88" w:name="_Toc246996176"/>
      <w:bookmarkStart w:id="89" w:name="_Toc40518990"/>
      <w:bookmarkStart w:id="90" w:name="_Toc40795879"/>
      <w:bookmarkStart w:id="91" w:name="_Toc6162"/>
      <w:bookmarkStart w:id="92" w:name="_Toc11715"/>
      <w:bookmarkStart w:id="93" w:name="_Toc21793"/>
      <w:bookmarkStart w:id="94" w:name="_Toc179632547"/>
      <w:bookmarkStart w:id="95" w:name="_Toc144974498"/>
      <w:bookmarkStart w:id="96" w:name="_Toc57369398"/>
      <w:bookmarkStart w:id="97" w:name="_Toc152042306"/>
      <w:bookmarkStart w:id="98" w:name="_Toc81321212"/>
      <w:r>
        <w:rPr>
          <w:rFonts w:hint="eastAsia" w:ascii="宋体" w:hAnsi="宋体" w:eastAsia="宋体" w:cs="宋体"/>
          <w:b/>
          <w:bCs/>
          <w:color w:val="000000" w:themeColor="text1"/>
          <w:sz w:val="28"/>
          <w:szCs w:val="28"/>
          <w:highlight w:val="none"/>
          <w14:textFill>
            <w14:solidFill>
              <w14:schemeClr w14:val="tx1"/>
            </w14:solidFill>
          </w14:textFill>
        </w:rPr>
        <w:t>1.1 项目概况</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5F2E9FE1">
      <w:pPr>
        <w:spacing w:line="360" w:lineRule="auto"/>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1.1.1根据《中华人民共和国政府采购法》、《政府采购货物和服务招标投标管理办法》等有关法律、法规和规章的规定，本招标项目已具备招标条件，现对本项目进行招标。</w:t>
      </w:r>
    </w:p>
    <w:p w14:paraId="1D810F24">
      <w:pPr>
        <w:spacing w:line="360" w:lineRule="auto"/>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1.1.2采购人：见投标人须知前附表。</w:t>
      </w:r>
    </w:p>
    <w:p w14:paraId="5A813651">
      <w:pPr>
        <w:spacing w:line="360" w:lineRule="auto"/>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1.1.3采购代理机构：见投标人须知前附表。</w:t>
      </w:r>
    </w:p>
    <w:p w14:paraId="5ED3D2CA">
      <w:pPr>
        <w:spacing w:line="360" w:lineRule="auto"/>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1.1.4 项目名称：见投标人须知前附表。</w:t>
      </w:r>
    </w:p>
    <w:p w14:paraId="0ABEBAEE">
      <w:pPr>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99" w:name="_Toc152045531"/>
      <w:bookmarkStart w:id="100" w:name="_Toc57369399"/>
      <w:bookmarkStart w:id="101" w:name="_Toc246996177"/>
      <w:bookmarkStart w:id="102" w:name="_Toc40518991"/>
      <w:bookmarkStart w:id="103" w:name="_Toc40708376"/>
      <w:bookmarkStart w:id="104" w:name="_Toc144974499"/>
      <w:bookmarkStart w:id="105" w:name="_Toc152042307"/>
      <w:bookmarkStart w:id="106" w:name="_Toc415819197"/>
      <w:bookmarkStart w:id="107" w:name="_Toc7536"/>
      <w:bookmarkStart w:id="108" w:name="_Toc14679"/>
      <w:bookmarkStart w:id="109" w:name="_Toc135648891"/>
      <w:bookmarkStart w:id="110" w:name="_Toc417333970"/>
      <w:bookmarkStart w:id="111" w:name="_Toc40795880"/>
      <w:bookmarkStart w:id="112" w:name="_Toc14069"/>
      <w:bookmarkStart w:id="113" w:name="_Toc135922541"/>
      <w:bookmarkStart w:id="114" w:name="_Toc246996920"/>
      <w:bookmarkStart w:id="115" w:name="_Toc81321213"/>
      <w:bookmarkStart w:id="116" w:name="_Toc179632548"/>
      <w:bookmarkStart w:id="117" w:name="_Toc247085691"/>
      <w:r>
        <w:rPr>
          <w:rFonts w:hint="eastAsia" w:ascii="宋体" w:hAnsi="宋体" w:eastAsia="宋体" w:cs="宋体"/>
          <w:b/>
          <w:bCs/>
          <w:color w:val="000000" w:themeColor="text1"/>
          <w:sz w:val="28"/>
          <w:szCs w:val="28"/>
          <w:highlight w:val="none"/>
          <w14:textFill>
            <w14:solidFill>
              <w14:schemeClr w14:val="tx1"/>
            </w14:solidFill>
          </w14:textFill>
        </w:rPr>
        <w:t>1.2 资金来源和落实情况</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497AD7BA">
      <w:pPr>
        <w:pageBreakBefore w:val="0"/>
        <w:widowControl w:val="0"/>
        <w:kinsoku/>
        <w:wordWrap/>
        <w:overflowPunct/>
        <w:topLinePunct w:val="0"/>
        <w:autoSpaceDE/>
        <w:autoSpaceDN/>
        <w:bidi w:val="0"/>
        <w:adjustRightInd/>
        <w:snapToGrid/>
        <w:spacing w:line="400" w:lineRule="exact"/>
        <w:ind w:right="-1" w:firstLine="420" w:firstLineChars="200"/>
        <w:textAlignment w:va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资金来源及落实情况：见投标人须知前附表。</w:t>
      </w:r>
    </w:p>
    <w:p w14:paraId="6F8129C5">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118" w:name="_Toc152045532"/>
      <w:bookmarkStart w:id="119" w:name="_Toc24223"/>
      <w:bookmarkStart w:id="120" w:name="_Toc152042308"/>
      <w:bookmarkStart w:id="121" w:name="_Toc179632549"/>
      <w:bookmarkStart w:id="122" w:name="_Toc417333971"/>
      <w:bookmarkStart w:id="123" w:name="_Toc246996921"/>
      <w:bookmarkStart w:id="124" w:name="_Toc415819198"/>
      <w:bookmarkStart w:id="125" w:name="_Toc247085692"/>
      <w:bookmarkStart w:id="126" w:name="_Toc25094"/>
      <w:bookmarkStart w:id="127" w:name="_Toc7302"/>
      <w:bookmarkStart w:id="128" w:name="_Toc246996178"/>
      <w:bookmarkStart w:id="129" w:name="_Toc144974500"/>
      <w:bookmarkStart w:id="130" w:name="_Toc135922542"/>
      <w:bookmarkStart w:id="131" w:name="_Toc135648892"/>
      <w:bookmarkStart w:id="132" w:name="_Toc81321214"/>
      <w:bookmarkStart w:id="133" w:name="_Toc40518992"/>
      <w:bookmarkStart w:id="134" w:name="_Toc57369400"/>
      <w:bookmarkStart w:id="135" w:name="_Toc40708377"/>
      <w:bookmarkStart w:id="136" w:name="_Toc40795881"/>
      <w:r>
        <w:rPr>
          <w:rFonts w:hint="eastAsia" w:ascii="宋体" w:hAnsi="宋体" w:eastAsia="宋体" w:cs="宋体"/>
          <w:b/>
          <w:bCs/>
          <w:color w:val="000000" w:themeColor="text1"/>
          <w:sz w:val="28"/>
          <w:szCs w:val="28"/>
          <w:highlight w:val="none"/>
          <w14:textFill>
            <w14:solidFill>
              <w14:schemeClr w14:val="tx1"/>
            </w14:solidFill>
          </w14:textFill>
        </w:rPr>
        <w:t>1.3 采购内容、质量、交货及安装调试期、</w:t>
      </w:r>
      <w:bookmarkEnd w:id="118"/>
      <w:bookmarkEnd w:id="119"/>
      <w:bookmarkEnd w:id="120"/>
      <w:bookmarkEnd w:id="121"/>
      <w:bookmarkEnd w:id="122"/>
      <w:bookmarkEnd w:id="123"/>
      <w:bookmarkEnd w:id="124"/>
      <w:bookmarkEnd w:id="125"/>
      <w:bookmarkEnd w:id="126"/>
      <w:bookmarkEnd w:id="127"/>
      <w:bookmarkEnd w:id="128"/>
      <w:bookmarkEnd w:id="129"/>
      <w:r>
        <w:rPr>
          <w:rFonts w:hint="eastAsia" w:ascii="宋体" w:hAnsi="宋体" w:eastAsia="宋体" w:cs="宋体"/>
          <w:b/>
          <w:bCs/>
          <w:color w:val="000000" w:themeColor="text1"/>
          <w:sz w:val="28"/>
          <w:szCs w:val="28"/>
          <w:highlight w:val="none"/>
          <w14:textFill>
            <w14:solidFill>
              <w14:schemeClr w14:val="tx1"/>
            </w14:solidFill>
          </w14:textFill>
        </w:rPr>
        <w:t>交货及安装地点、质保期</w:t>
      </w:r>
      <w:bookmarkEnd w:id="130"/>
      <w:bookmarkEnd w:id="131"/>
      <w:bookmarkEnd w:id="132"/>
      <w:bookmarkEnd w:id="133"/>
      <w:bookmarkEnd w:id="134"/>
      <w:bookmarkEnd w:id="135"/>
      <w:bookmarkEnd w:id="136"/>
    </w:p>
    <w:p w14:paraId="1447F839">
      <w:pPr>
        <w:spacing w:line="360" w:lineRule="auto"/>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1.3.1采购内容：见投标人须知前附表。</w:t>
      </w:r>
    </w:p>
    <w:p w14:paraId="27E374CF">
      <w:pPr>
        <w:spacing w:line="360" w:lineRule="auto"/>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1.3.2质量：见投标人须知前附表。</w:t>
      </w:r>
    </w:p>
    <w:p w14:paraId="45A200FD">
      <w:pPr>
        <w:spacing w:line="360" w:lineRule="auto"/>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1.3.3交货及安装期：见投标人须知前附表。</w:t>
      </w:r>
    </w:p>
    <w:p w14:paraId="7C2E3C8D">
      <w:pPr>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1.3.4交货及安装地点：见投标人须知前附表。</w:t>
      </w:r>
    </w:p>
    <w:p w14:paraId="59AB2DBF">
      <w:pPr>
        <w:spacing w:line="360" w:lineRule="auto"/>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1.3.5质保期：见投标人须知前附表。</w:t>
      </w:r>
    </w:p>
    <w:p w14:paraId="1CB163A6">
      <w:pPr>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137" w:name="_Toc135648893"/>
      <w:bookmarkStart w:id="138" w:name="_Toc246996179"/>
      <w:bookmarkStart w:id="139" w:name="_Toc40518993"/>
      <w:bookmarkStart w:id="140" w:name="_Toc152042310"/>
      <w:bookmarkStart w:id="141" w:name="_Toc4052"/>
      <w:bookmarkStart w:id="142" w:name="_Toc417333972"/>
      <w:bookmarkStart w:id="143" w:name="_Toc11634"/>
      <w:bookmarkStart w:id="144" w:name="_Toc81321215"/>
      <w:bookmarkStart w:id="145" w:name="_Toc57369401"/>
      <w:bookmarkStart w:id="146" w:name="_Toc246996922"/>
      <w:bookmarkStart w:id="147" w:name="_Toc144974502"/>
      <w:bookmarkStart w:id="148" w:name="_Toc247085693"/>
      <w:bookmarkStart w:id="149" w:name="_Toc40795882"/>
      <w:bookmarkStart w:id="150" w:name="_Toc415819199"/>
      <w:bookmarkStart w:id="151" w:name="_Toc40708378"/>
      <w:bookmarkStart w:id="152" w:name="_Toc135922543"/>
      <w:bookmarkStart w:id="153" w:name="_Toc152045534"/>
      <w:bookmarkStart w:id="154" w:name="_Toc25695"/>
      <w:bookmarkStart w:id="155" w:name="_Toc179632551"/>
      <w:r>
        <w:rPr>
          <w:rFonts w:hint="eastAsia" w:ascii="宋体" w:hAnsi="宋体" w:eastAsia="宋体" w:cs="宋体"/>
          <w:b/>
          <w:bCs/>
          <w:color w:val="000000" w:themeColor="text1"/>
          <w:sz w:val="28"/>
          <w:szCs w:val="28"/>
          <w:highlight w:val="none"/>
          <w14:textFill>
            <w14:solidFill>
              <w14:schemeClr w14:val="tx1"/>
            </w14:solidFill>
          </w14:textFill>
        </w:rPr>
        <w:t>1.4 投标人资格要求</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0DC8CB82">
      <w:pPr>
        <w:spacing w:line="400" w:lineRule="exact"/>
        <w:ind w:right="-1" w:firstLine="359" w:firstLineChars="171"/>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投标人应具备承担本项目投标的资格要求：见投标人须知前附表。</w:t>
      </w:r>
    </w:p>
    <w:p w14:paraId="11E9440A">
      <w:pPr>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156" w:name="_Toc415819200"/>
      <w:bookmarkStart w:id="157" w:name="_Toc144974503"/>
      <w:bookmarkStart w:id="158" w:name="_Toc40795883"/>
      <w:bookmarkStart w:id="159" w:name="_Toc417333973"/>
      <w:bookmarkStart w:id="160" w:name="_Toc135648894"/>
      <w:bookmarkStart w:id="161" w:name="_Toc152045535"/>
      <w:bookmarkStart w:id="162" w:name="_Toc152042311"/>
      <w:bookmarkStart w:id="163" w:name="_Toc246996180"/>
      <w:bookmarkStart w:id="164" w:name="_Toc247085694"/>
      <w:bookmarkStart w:id="165" w:name="_Toc81321216"/>
      <w:bookmarkStart w:id="166" w:name="_Toc179632552"/>
      <w:bookmarkStart w:id="167" w:name="_Toc246996923"/>
      <w:bookmarkStart w:id="168" w:name="_Toc18787"/>
      <w:bookmarkStart w:id="169" w:name="_Toc27254"/>
      <w:bookmarkStart w:id="170" w:name="_Toc135922544"/>
      <w:bookmarkStart w:id="171" w:name="_Toc18906"/>
      <w:bookmarkStart w:id="172" w:name="_Toc57369402"/>
      <w:bookmarkStart w:id="173" w:name="_Toc40518994"/>
      <w:bookmarkStart w:id="174" w:name="_Toc40708379"/>
      <w:r>
        <w:rPr>
          <w:rFonts w:hint="eastAsia" w:ascii="宋体" w:hAnsi="宋体" w:eastAsia="宋体" w:cs="宋体"/>
          <w:b/>
          <w:bCs/>
          <w:color w:val="000000" w:themeColor="text1"/>
          <w:sz w:val="28"/>
          <w:szCs w:val="28"/>
          <w:highlight w:val="none"/>
          <w14:textFill>
            <w14:solidFill>
              <w14:schemeClr w14:val="tx1"/>
            </w14:solidFill>
          </w14:textFill>
        </w:rPr>
        <w:t>1.5 费用承担</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215B9E8A">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投标人准备和参加投标活动发生的费用自理。</w:t>
      </w:r>
    </w:p>
    <w:p w14:paraId="7EAC550C">
      <w:pPr>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175" w:name="_Toc247085695"/>
      <w:bookmarkStart w:id="176" w:name="_Toc152045536"/>
      <w:bookmarkStart w:id="177" w:name="_Toc57369403"/>
      <w:bookmarkStart w:id="178" w:name="_Toc40518995"/>
      <w:bookmarkStart w:id="179" w:name="_Toc18051"/>
      <w:bookmarkStart w:id="180" w:name="_Toc246996181"/>
      <w:bookmarkStart w:id="181" w:name="_Toc415819201"/>
      <w:bookmarkStart w:id="182" w:name="_Toc144974504"/>
      <w:bookmarkStart w:id="183" w:name="_Toc417333974"/>
      <w:bookmarkStart w:id="184" w:name="_Toc254"/>
      <w:bookmarkStart w:id="185" w:name="_Toc40795884"/>
      <w:bookmarkStart w:id="186" w:name="_Toc81321217"/>
      <w:bookmarkStart w:id="187" w:name="_Toc152042312"/>
      <w:bookmarkStart w:id="188" w:name="_Toc40708380"/>
      <w:bookmarkStart w:id="189" w:name="_Toc179632553"/>
      <w:bookmarkStart w:id="190" w:name="_Toc246996924"/>
      <w:bookmarkStart w:id="191" w:name="_Toc135922545"/>
      <w:bookmarkStart w:id="192" w:name="_Toc135648895"/>
      <w:bookmarkStart w:id="193" w:name="_Toc8226"/>
      <w:r>
        <w:rPr>
          <w:rFonts w:hint="eastAsia" w:ascii="宋体" w:hAnsi="宋体" w:eastAsia="宋体" w:cs="宋体"/>
          <w:b/>
          <w:bCs/>
          <w:color w:val="000000" w:themeColor="text1"/>
          <w:sz w:val="28"/>
          <w:szCs w:val="28"/>
          <w:highlight w:val="none"/>
          <w14:textFill>
            <w14:solidFill>
              <w14:schemeClr w14:val="tx1"/>
            </w14:solidFill>
          </w14:textFill>
        </w:rPr>
        <w:t>1.6 保密</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14:paraId="679D5D9C">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参与招标投标活动的各方应对招标文件和投标文件中的商业和技术等秘密保密，违者应对由此造成的后果承担法律责任。 </w:t>
      </w:r>
    </w:p>
    <w:p w14:paraId="58D2AB74">
      <w:pPr>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194" w:name="_Toc144974505"/>
      <w:bookmarkStart w:id="195" w:name="_Toc179632554"/>
      <w:bookmarkStart w:id="196" w:name="_Toc135648896"/>
      <w:bookmarkStart w:id="197" w:name="_Toc246996182"/>
      <w:bookmarkStart w:id="198" w:name="_Toc152045537"/>
      <w:bookmarkStart w:id="199" w:name="_Toc57369404"/>
      <w:bookmarkStart w:id="200" w:name="_Toc4015"/>
      <w:bookmarkStart w:id="201" w:name="_Toc2540"/>
      <w:bookmarkStart w:id="202" w:name="_Toc152042313"/>
      <w:bookmarkStart w:id="203" w:name="_Toc135922546"/>
      <w:bookmarkStart w:id="204" w:name="_Toc415819202"/>
      <w:bookmarkStart w:id="205" w:name="_Toc417333975"/>
      <w:bookmarkStart w:id="206" w:name="_Toc247085696"/>
      <w:bookmarkStart w:id="207" w:name="_Toc40708381"/>
      <w:bookmarkStart w:id="208" w:name="_Toc40518996"/>
      <w:bookmarkStart w:id="209" w:name="_Toc81321218"/>
      <w:bookmarkStart w:id="210" w:name="_Toc40795885"/>
      <w:bookmarkStart w:id="211" w:name="_Toc26174"/>
      <w:bookmarkStart w:id="212" w:name="_Toc246996925"/>
      <w:r>
        <w:rPr>
          <w:rFonts w:hint="eastAsia" w:ascii="宋体" w:hAnsi="宋体" w:eastAsia="宋体" w:cs="宋体"/>
          <w:b/>
          <w:bCs/>
          <w:color w:val="000000" w:themeColor="text1"/>
          <w:sz w:val="28"/>
          <w:szCs w:val="28"/>
          <w:highlight w:val="none"/>
          <w14:textFill>
            <w14:solidFill>
              <w14:schemeClr w14:val="tx1"/>
            </w14:solidFill>
          </w14:textFill>
        </w:rPr>
        <w:t>1.7 语言</w:t>
      </w:r>
      <w:bookmarkEnd w:id="194"/>
      <w:r>
        <w:rPr>
          <w:rFonts w:hint="eastAsia" w:ascii="宋体" w:hAnsi="宋体" w:eastAsia="宋体" w:cs="宋体"/>
          <w:b/>
          <w:bCs/>
          <w:color w:val="000000" w:themeColor="text1"/>
          <w:sz w:val="28"/>
          <w:szCs w:val="28"/>
          <w:highlight w:val="none"/>
          <w14:textFill>
            <w14:solidFill>
              <w14:schemeClr w14:val="tx1"/>
            </w14:solidFill>
          </w14:textFill>
        </w:rPr>
        <w:t>文字</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11A98E2E">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bookmarkStart w:id="213" w:name="_Toc246996183"/>
      <w:bookmarkStart w:id="214" w:name="_Toc246996926"/>
      <w:bookmarkStart w:id="215" w:name="_Toc152045538"/>
      <w:bookmarkStart w:id="216" w:name="_Toc179632555"/>
      <w:bookmarkStart w:id="217" w:name="_Toc152042314"/>
      <w:bookmarkStart w:id="218" w:name="_Toc247085697"/>
      <w:bookmarkStart w:id="219" w:name="_Toc144974506"/>
      <w:r>
        <w:rPr>
          <w:rFonts w:hint="eastAsia" w:ascii="宋体" w:hAnsi="宋体" w:eastAsia="宋体" w:cs="宋体"/>
          <w:color w:val="000000" w:themeColor="text1"/>
          <w:szCs w:val="24"/>
          <w:highlight w:val="none"/>
          <w14:textFill>
            <w14:solidFill>
              <w14:schemeClr w14:val="tx1"/>
            </w14:solidFill>
          </w14:textFill>
        </w:rPr>
        <w:t>招标投标文件使用的语言文字为中文。专用术语使用外文的，应附有中文注释。</w:t>
      </w:r>
    </w:p>
    <w:p w14:paraId="407ACFA7">
      <w:pPr>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220" w:name="_Toc135922547"/>
      <w:bookmarkStart w:id="221" w:name="_Toc40518997"/>
      <w:bookmarkStart w:id="222" w:name="_Toc417333976"/>
      <w:bookmarkStart w:id="223" w:name="_Toc25556"/>
      <w:bookmarkStart w:id="224" w:name="_Toc135648897"/>
      <w:bookmarkStart w:id="225" w:name="_Toc57369405"/>
      <w:bookmarkStart w:id="226" w:name="_Toc11147"/>
      <w:bookmarkStart w:id="227" w:name="_Toc29905"/>
      <w:bookmarkStart w:id="228" w:name="_Toc81321219"/>
      <w:bookmarkStart w:id="229" w:name="_Toc40708382"/>
      <w:bookmarkStart w:id="230" w:name="_Toc415819203"/>
      <w:bookmarkStart w:id="231" w:name="_Toc40795886"/>
      <w:r>
        <w:rPr>
          <w:rFonts w:hint="eastAsia" w:ascii="宋体" w:hAnsi="宋体" w:eastAsia="宋体" w:cs="宋体"/>
          <w:b/>
          <w:bCs/>
          <w:color w:val="000000" w:themeColor="text1"/>
          <w:sz w:val="28"/>
          <w:szCs w:val="28"/>
          <w:highlight w:val="none"/>
          <w14:textFill>
            <w14:solidFill>
              <w14:schemeClr w14:val="tx1"/>
            </w14:solidFill>
          </w14:textFill>
        </w:rPr>
        <w:t>1.8 计量单位</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2DC3DD71">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所有计量均采用中华人民共和国法定计量单位。</w:t>
      </w:r>
    </w:p>
    <w:p w14:paraId="111B177C">
      <w:pPr>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232" w:name="_Toc135922548"/>
      <w:bookmarkStart w:id="233" w:name="_Toc135648898"/>
      <w:r>
        <w:rPr>
          <w:rFonts w:hint="eastAsia" w:ascii="宋体" w:hAnsi="宋体" w:eastAsia="宋体" w:cs="宋体"/>
          <w:b/>
          <w:bCs/>
          <w:color w:val="000000" w:themeColor="text1"/>
          <w:sz w:val="28"/>
          <w:szCs w:val="28"/>
          <w:highlight w:val="none"/>
          <w14:textFill>
            <w14:solidFill>
              <w14:schemeClr w14:val="tx1"/>
            </w14:solidFill>
          </w14:textFill>
        </w:rPr>
        <w:t>1.9踏勘现场（不组织）</w:t>
      </w:r>
      <w:bookmarkEnd w:id="232"/>
      <w:bookmarkEnd w:id="233"/>
    </w:p>
    <w:p w14:paraId="72FA5469">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1.9.1 投标人须知前附表规定组织踏勘现场的，采购人按投标人须知前附表规定的时间、地点组织投标人踏勘项目现场。 </w:t>
      </w:r>
    </w:p>
    <w:p w14:paraId="65B452F7">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1.9.2 投标人踏勘现场发生的费用自理。</w:t>
      </w:r>
    </w:p>
    <w:p w14:paraId="6EF7C931">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1.9.3 除采购人的原因外，投标人自行负责在踏勘现场中所发生的人员伤亡和财产损失。</w:t>
      </w:r>
    </w:p>
    <w:p w14:paraId="680E3CBC">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1.9.4 采购人在踏勘现场中介绍的工程场地和相关的周边环境情况，供投标人在编制投标文件时参考，采购人不对投标人据此作出的判断和决策负责。</w:t>
      </w:r>
    </w:p>
    <w:p w14:paraId="3579296E">
      <w:pPr>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234" w:name="_Toc415819205"/>
      <w:bookmarkStart w:id="235" w:name="_Toc247592877"/>
      <w:bookmarkStart w:id="236" w:name="_Toc20335"/>
      <w:bookmarkStart w:id="237" w:name="_Toc247513963"/>
      <w:bookmarkStart w:id="238" w:name="_Toc30934"/>
      <w:bookmarkStart w:id="239" w:name="_Toc152042316"/>
      <w:bookmarkStart w:id="240" w:name="_Toc493"/>
      <w:bookmarkStart w:id="241" w:name="_Toc152045540"/>
      <w:bookmarkStart w:id="242" w:name="_Toc144974508"/>
      <w:bookmarkStart w:id="243" w:name="_Toc247527564"/>
      <w:bookmarkStart w:id="244" w:name="_Toc417333978"/>
      <w:bookmarkStart w:id="245" w:name="_Toc40518998"/>
      <w:bookmarkStart w:id="246" w:name="_Toc135922549"/>
      <w:bookmarkStart w:id="247" w:name="_Toc40795887"/>
      <w:bookmarkStart w:id="248" w:name="_Toc81321220"/>
      <w:bookmarkStart w:id="249" w:name="_Toc57369406"/>
      <w:bookmarkStart w:id="250" w:name="_Toc40708383"/>
      <w:bookmarkStart w:id="251" w:name="_Toc135648899"/>
      <w:r>
        <w:rPr>
          <w:rFonts w:hint="eastAsia" w:ascii="宋体" w:hAnsi="宋体" w:eastAsia="宋体" w:cs="宋体"/>
          <w:b/>
          <w:bCs/>
          <w:color w:val="000000" w:themeColor="text1"/>
          <w:sz w:val="28"/>
          <w:szCs w:val="28"/>
          <w:highlight w:val="none"/>
          <w14:textFill>
            <w14:solidFill>
              <w14:schemeClr w14:val="tx1"/>
            </w14:solidFill>
          </w14:textFill>
        </w:rPr>
        <w:t>1.10投标预备会</w:t>
      </w:r>
      <w:bookmarkEnd w:id="234"/>
      <w:bookmarkEnd w:id="235"/>
      <w:bookmarkEnd w:id="236"/>
      <w:bookmarkEnd w:id="237"/>
      <w:bookmarkEnd w:id="238"/>
      <w:bookmarkEnd w:id="239"/>
      <w:bookmarkEnd w:id="240"/>
      <w:bookmarkEnd w:id="241"/>
      <w:bookmarkEnd w:id="242"/>
      <w:bookmarkEnd w:id="243"/>
      <w:bookmarkEnd w:id="244"/>
      <w:r>
        <w:rPr>
          <w:rFonts w:hint="eastAsia" w:ascii="宋体" w:hAnsi="宋体" w:eastAsia="宋体" w:cs="宋体"/>
          <w:b/>
          <w:bCs/>
          <w:color w:val="000000" w:themeColor="text1"/>
          <w:sz w:val="28"/>
          <w:szCs w:val="28"/>
          <w:highlight w:val="none"/>
          <w14:textFill>
            <w14:solidFill>
              <w14:schemeClr w14:val="tx1"/>
            </w14:solidFill>
          </w14:textFill>
        </w:rPr>
        <w:t>（不召开）</w:t>
      </w:r>
      <w:bookmarkEnd w:id="245"/>
      <w:bookmarkEnd w:id="246"/>
      <w:bookmarkEnd w:id="247"/>
      <w:bookmarkEnd w:id="248"/>
      <w:bookmarkEnd w:id="249"/>
      <w:bookmarkEnd w:id="250"/>
      <w:bookmarkEnd w:id="251"/>
    </w:p>
    <w:p w14:paraId="4CDAFD9D">
      <w:pPr>
        <w:spacing w:line="400" w:lineRule="exact"/>
        <w:ind w:firstLine="420" w:firstLineChars="200"/>
        <w:rPr>
          <w:rFonts w:hint="eastAsia" w:ascii="宋体" w:hAnsi="宋体" w:eastAsia="宋体" w:cs="宋体"/>
          <w:color w:val="000000" w:themeColor="text1"/>
          <w:highlight w:val="none"/>
          <w14:textFill>
            <w14:solidFill>
              <w14:schemeClr w14:val="tx1"/>
            </w14:solidFill>
          </w14:textFill>
        </w:rPr>
      </w:pPr>
      <w:bookmarkStart w:id="252" w:name="_Toc144974507"/>
      <w:bookmarkStart w:id="253" w:name="_Toc4959"/>
      <w:bookmarkStart w:id="254" w:name="_Toc9285"/>
      <w:bookmarkStart w:id="255" w:name="_Toc40795888"/>
      <w:bookmarkStart w:id="256" w:name="_Toc417333977"/>
      <w:bookmarkStart w:id="257" w:name="_Toc11121"/>
      <w:bookmarkStart w:id="258" w:name="_Toc57369407"/>
      <w:bookmarkStart w:id="259" w:name="_Toc40708384"/>
      <w:bookmarkStart w:id="260" w:name="_Toc152045539"/>
      <w:bookmarkStart w:id="261" w:name="_Toc40518999"/>
      <w:bookmarkStart w:id="262" w:name="_Toc247592876"/>
      <w:bookmarkStart w:id="263" w:name="_Toc152042315"/>
      <w:bookmarkStart w:id="264" w:name="_Toc415819204"/>
      <w:bookmarkStart w:id="265" w:name="_Toc81321221"/>
      <w:bookmarkStart w:id="266" w:name="_Toc247513962"/>
      <w:bookmarkStart w:id="267" w:name="_Toc247527563"/>
      <w:r>
        <w:rPr>
          <w:rFonts w:hint="eastAsia" w:ascii="宋体" w:hAnsi="宋体" w:eastAsia="宋体" w:cs="宋体"/>
          <w:color w:val="000000" w:themeColor="text1"/>
          <w:highlight w:val="none"/>
          <w14:textFill>
            <w14:solidFill>
              <w14:schemeClr w14:val="tx1"/>
            </w14:solidFill>
          </w14:textFill>
        </w:rPr>
        <w:t>1.10.1 投标人须知前附表规定召开投标预备会的，采购人按投标人须知前附表规定的时间和地点召开投标预备会，澄清投标人提出的问题。</w:t>
      </w:r>
    </w:p>
    <w:p w14:paraId="60C45E33">
      <w:pPr>
        <w:spacing w:line="400" w:lineRule="exact"/>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1.10.2 投标人应在投标人须知前附表规定的时间前，以书面形式将提出的问题送达采购人，以便采购人在会议期间澄清。</w:t>
      </w:r>
    </w:p>
    <w:p w14:paraId="6910AAA8">
      <w:pPr>
        <w:spacing w:line="400" w:lineRule="exact"/>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1.10.3 投标预备会后，采购人在投标人须知前附表规定的时间内，将对投标人所提问题的澄清，以书面方式通知所有购买招标文件的投标人。该澄清内容为招标文件的组成部分。</w:t>
      </w:r>
    </w:p>
    <w:p w14:paraId="320A610A">
      <w:pPr>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268" w:name="_Toc135922550"/>
      <w:bookmarkStart w:id="269" w:name="_Toc144974509"/>
      <w:bookmarkStart w:id="270" w:name="_Toc179632558"/>
      <w:bookmarkStart w:id="271" w:name="_Toc152045541"/>
      <w:bookmarkStart w:id="272" w:name="_Toc152042317"/>
      <w:bookmarkStart w:id="273" w:name="_Toc135648900"/>
      <w:r>
        <w:rPr>
          <w:rFonts w:hint="eastAsia" w:ascii="宋体" w:hAnsi="宋体" w:eastAsia="宋体" w:cs="宋体"/>
          <w:b/>
          <w:bCs/>
          <w:color w:val="000000" w:themeColor="text1"/>
          <w:sz w:val="28"/>
          <w:szCs w:val="28"/>
          <w:highlight w:val="none"/>
          <w14:textFill>
            <w14:solidFill>
              <w14:schemeClr w14:val="tx1"/>
            </w14:solidFill>
          </w14:textFill>
        </w:rPr>
        <w:t>1.11 分包</w:t>
      </w:r>
      <w:bookmarkEnd w:id="268"/>
      <w:bookmarkEnd w:id="269"/>
      <w:bookmarkEnd w:id="270"/>
      <w:bookmarkEnd w:id="271"/>
      <w:bookmarkEnd w:id="272"/>
      <w:bookmarkEnd w:id="273"/>
    </w:p>
    <w:p w14:paraId="47831B45">
      <w:pPr>
        <w:spacing w:line="400" w:lineRule="exact"/>
        <w:ind w:firstLine="424" w:firstLineChars="20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应符合投标人须知前附表规定。</w:t>
      </w:r>
    </w:p>
    <w:p w14:paraId="5F4BE648">
      <w:pPr>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274" w:name="_Toc135648901"/>
      <w:bookmarkStart w:id="275" w:name="_Toc179632559"/>
      <w:bookmarkStart w:id="276" w:name="_Toc135922551"/>
      <w:r>
        <w:rPr>
          <w:rFonts w:hint="eastAsia" w:ascii="宋体" w:hAnsi="宋体" w:eastAsia="宋体" w:cs="宋体"/>
          <w:b/>
          <w:bCs/>
          <w:color w:val="000000" w:themeColor="text1"/>
          <w:sz w:val="28"/>
          <w:szCs w:val="28"/>
          <w:highlight w:val="none"/>
          <w14:textFill>
            <w14:solidFill>
              <w14:schemeClr w14:val="tx1"/>
            </w14:solidFill>
          </w14:textFill>
        </w:rPr>
        <w:t>1.12 偏离</w:t>
      </w:r>
      <w:bookmarkEnd w:id="274"/>
      <w:bookmarkEnd w:id="275"/>
      <w:bookmarkEnd w:id="276"/>
    </w:p>
    <w:p w14:paraId="205761B6">
      <w:pPr>
        <w:spacing w:line="400" w:lineRule="exact"/>
        <w:ind w:firstLine="359" w:firstLineChars="1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投标人须知前附表允许投标文件偏离招标文件某些要求的，偏离应当符合招标文件规定的偏离范围和幅度。</w:t>
      </w:r>
    </w:p>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14:paraId="0DBC3E9E">
      <w:pPr>
        <w:bidi w:val="0"/>
        <w:rPr>
          <w:rFonts w:hint="eastAsia"/>
          <w:color w:val="000000" w:themeColor="text1"/>
          <w:highlight w:val="none"/>
          <w14:textFill>
            <w14:solidFill>
              <w14:schemeClr w14:val="tx1"/>
            </w14:solidFill>
          </w14:textFill>
        </w:rPr>
      </w:pPr>
      <w:bookmarkStart w:id="277" w:name="_Toc152045542"/>
      <w:bookmarkStart w:id="278" w:name="_Toc179632560"/>
      <w:bookmarkStart w:id="279" w:name="_Toc247085701"/>
      <w:bookmarkStart w:id="280" w:name="_Toc152042318"/>
      <w:bookmarkStart w:id="281" w:name="_Toc57369408"/>
      <w:bookmarkStart w:id="282" w:name="_Toc135648902"/>
      <w:bookmarkStart w:id="283" w:name="_Toc144974510"/>
      <w:bookmarkStart w:id="284" w:name="_Toc12187"/>
      <w:bookmarkStart w:id="285" w:name="_Toc246996187"/>
      <w:bookmarkStart w:id="286" w:name="_Toc32550"/>
      <w:bookmarkStart w:id="287" w:name="_Toc81321222"/>
      <w:bookmarkStart w:id="288" w:name="_Toc17419"/>
      <w:bookmarkStart w:id="289" w:name="_Toc246996930"/>
    </w:p>
    <w:p w14:paraId="12075F77">
      <w:pPr>
        <w:keepNext/>
        <w:keepLines/>
        <w:pageBreakBefore w:val="0"/>
        <w:widowControl w:val="0"/>
        <w:kinsoku/>
        <w:wordWrap/>
        <w:overflowPunct/>
        <w:topLinePunct w:val="0"/>
        <w:autoSpaceDE/>
        <w:autoSpaceDN/>
        <w:bidi w:val="0"/>
        <w:adjustRightInd/>
        <w:snapToGrid/>
        <w:spacing w:line="30" w:lineRule="atLeast"/>
        <w:textAlignment w:val="auto"/>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r>
        <w:rPr>
          <w:rFonts w:hint="eastAsia" w:ascii="宋体" w:hAnsi="宋体" w:eastAsia="宋体" w:cs="宋体"/>
          <w:b/>
          <w:bCs/>
          <w:color w:val="000000" w:themeColor="text1"/>
          <w:kern w:val="0"/>
          <w:sz w:val="32"/>
          <w:szCs w:val="32"/>
          <w:highlight w:val="none"/>
          <w14:textFill>
            <w14:solidFill>
              <w14:schemeClr w14:val="tx1"/>
            </w14:solidFill>
          </w14:textFill>
        </w:rPr>
        <w:t>2. 招标文件</w:t>
      </w:r>
      <w:bookmarkEnd w:id="277"/>
      <w:bookmarkEnd w:id="278"/>
      <w:bookmarkEnd w:id="279"/>
      <w:bookmarkEnd w:id="280"/>
      <w:bookmarkEnd w:id="281"/>
      <w:bookmarkEnd w:id="282"/>
      <w:bookmarkEnd w:id="283"/>
      <w:bookmarkEnd w:id="284"/>
      <w:bookmarkEnd w:id="285"/>
      <w:bookmarkEnd w:id="286"/>
      <w:bookmarkEnd w:id="287"/>
      <w:bookmarkEnd w:id="288"/>
      <w:bookmarkEnd w:id="289"/>
    </w:p>
    <w:p w14:paraId="6AB25D78">
      <w:pPr>
        <w:bidi w:val="0"/>
        <w:rPr>
          <w:rFonts w:hint="eastAsia"/>
          <w:color w:val="000000" w:themeColor="text1"/>
          <w:highlight w:val="none"/>
          <w14:textFill>
            <w14:solidFill>
              <w14:schemeClr w14:val="tx1"/>
            </w14:solidFill>
          </w14:textFill>
        </w:rPr>
      </w:pPr>
    </w:p>
    <w:p w14:paraId="1F51C50D">
      <w:pPr>
        <w:keepNext/>
        <w:keepLines/>
        <w:pageBreakBefore w:val="0"/>
        <w:widowControl w:val="0"/>
        <w:kinsoku/>
        <w:wordWrap/>
        <w:overflowPunct/>
        <w:topLinePunct w:val="0"/>
        <w:autoSpaceDE/>
        <w:autoSpaceDN/>
        <w:bidi w:val="0"/>
        <w:adjustRightInd/>
        <w:snapToGrid/>
        <w:spacing w:line="30" w:lineRule="atLeast"/>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290" w:name="_Toc247085702"/>
      <w:bookmarkStart w:id="291" w:name="_Toc246996931"/>
      <w:bookmarkStart w:id="292" w:name="_Toc415819208"/>
      <w:bookmarkStart w:id="293" w:name="_Toc135648903"/>
      <w:bookmarkStart w:id="294" w:name="_Toc144974511"/>
      <w:bookmarkStart w:id="295" w:name="_Toc246996188"/>
      <w:bookmarkStart w:id="296" w:name="_Toc152042319"/>
      <w:bookmarkStart w:id="297" w:name="_Toc417333981"/>
      <w:bookmarkStart w:id="298" w:name="_Toc81321223"/>
      <w:bookmarkStart w:id="299" w:name="_Toc40708386"/>
      <w:bookmarkStart w:id="300" w:name="_Toc14415"/>
      <w:bookmarkStart w:id="301" w:name="_Toc57369409"/>
      <w:bookmarkStart w:id="302" w:name="_Toc135922552"/>
      <w:bookmarkStart w:id="303" w:name="_Toc14432"/>
      <w:bookmarkStart w:id="304" w:name="_Toc29325"/>
      <w:bookmarkStart w:id="305" w:name="_Toc40795890"/>
      <w:bookmarkStart w:id="306" w:name="_Toc179632561"/>
      <w:bookmarkStart w:id="307" w:name="_Toc152045543"/>
      <w:bookmarkStart w:id="308" w:name="_Toc40519001"/>
      <w:r>
        <w:rPr>
          <w:rFonts w:hint="eastAsia" w:ascii="宋体" w:hAnsi="宋体" w:eastAsia="宋体" w:cs="宋体"/>
          <w:b/>
          <w:bCs/>
          <w:color w:val="000000" w:themeColor="text1"/>
          <w:sz w:val="28"/>
          <w:szCs w:val="28"/>
          <w:highlight w:val="none"/>
          <w14:textFill>
            <w14:solidFill>
              <w14:schemeClr w14:val="tx1"/>
            </w14:solidFill>
          </w14:textFill>
        </w:rPr>
        <w:t>2.1 招标文件的组成</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0B2305F0">
      <w:pPr>
        <w:spacing w:line="360" w:lineRule="auto"/>
        <w:ind w:right="-1"/>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w:t>
      </w:r>
      <w:r>
        <w:rPr>
          <w:rFonts w:hint="eastAsia" w:ascii="宋体" w:hAnsi="宋体" w:eastAsia="宋体" w:cs="宋体"/>
          <w:color w:val="000000" w:themeColor="text1"/>
          <w:szCs w:val="21"/>
          <w:highlight w:val="none"/>
          <w14:textFill>
            <w14:solidFill>
              <w14:schemeClr w14:val="tx1"/>
            </w14:solidFill>
          </w14:textFill>
        </w:rPr>
        <w:t>2.1.1 本招标文件包括：</w:t>
      </w:r>
    </w:p>
    <w:p w14:paraId="5996BBE0">
      <w:pPr>
        <w:spacing w:line="360" w:lineRule="auto"/>
        <w:ind w:right="-1" w:firstLine="359" w:firstLineChars="171"/>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（1）招标公告；</w:t>
      </w:r>
    </w:p>
    <w:p w14:paraId="0334EFC6">
      <w:pPr>
        <w:spacing w:line="360" w:lineRule="auto"/>
        <w:ind w:right="-1" w:firstLine="359" w:firstLineChars="171"/>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（2）投标人须知；</w:t>
      </w:r>
    </w:p>
    <w:p w14:paraId="2AADC289">
      <w:pPr>
        <w:spacing w:line="360" w:lineRule="auto"/>
        <w:ind w:right="-1" w:firstLine="359" w:firstLineChars="171"/>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（3）评标办法；</w:t>
      </w:r>
    </w:p>
    <w:p w14:paraId="720EE0B4">
      <w:pPr>
        <w:spacing w:line="360" w:lineRule="auto"/>
        <w:ind w:right="-1" w:firstLine="359" w:firstLineChars="171"/>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（4）采购内容及要求；</w:t>
      </w:r>
    </w:p>
    <w:p w14:paraId="72938564">
      <w:pPr>
        <w:spacing w:line="360" w:lineRule="auto"/>
        <w:ind w:right="-1" w:firstLine="359" w:firstLineChars="171"/>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（5）合同条款及格式；</w:t>
      </w:r>
    </w:p>
    <w:p w14:paraId="4A736F79">
      <w:pPr>
        <w:spacing w:line="360" w:lineRule="auto"/>
        <w:ind w:right="-1" w:firstLine="359" w:firstLineChars="171"/>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（6）投标文件格式；</w:t>
      </w:r>
    </w:p>
    <w:p w14:paraId="4F03DCE0">
      <w:pPr>
        <w:spacing w:line="360" w:lineRule="auto"/>
        <w:ind w:right="-1" w:firstLine="359" w:firstLineChars="171"/>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（7）投标人须知前附表规定的其他材料。</w:t>
      </w:r>
    </w:p>
    <w:p w14:paraId="4C43AD9F">
      <w:pPr>
        <w:spacing w:line="360" w:lineRule="auto"/>
        <w:ind w:right="-1" w:firstLine="359" w:firstLineChars="171"/>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2.1.2 根据本章对招标文件所作的澄清、修改（如有）等，构成招标文件的组成部分。</w:t>
      </w:r>
    </w:p>
    <w:p w14:paraId="3BDD0A8D">
      <w:pPr>
        <w:keepNext/>
        <w:keepLines/>
        <w:spacing w:before="280" w:after="290" w:line="376" w:lineRule="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309" w:name="_Toc246996932"/>
      <w:bookmarkStart w:id="310" w:name="_Toc144974512"/>
      <w:bookmarkStart w:id="311" w:name="_Toc246996189"/>
      <w:bookmarkStart w:id="312" w:name="_Toc179632562"/>
      <w:bookmarkStart w:id="313" w:name="_Toc417333982"/>
      <w:bookmarkStart w:id="314" w:name="_Toc415819209"/>
      <w:bookmarkStart w:id="315" w:name="_Toc247085703"/>
      <w:bookmarkStart w:id="316" w:name="_Toc16336"/>
      <w:bookmarkStart w:id="317" w:name="_Toc152042320"/>
      <w:bookmarkStart w:id="318" w:name="_Toc9719"/>
      <w:bookmarkStart w:id="319" w:name="_Toc152045544"/>
      <w:bookmarkStart w:id="320" w:name="_Toc8516"/>
      <w:r>
        <w:rPr>
          <w:rFonts w:hint="eastAsia" w:ascii="宋体" w:hAnsi="宋体" w:eastAsia="宋体" w:cs="宋体"/>
          <w:b/>
          <w:bCs/>
          <w:color w:val="000000" w:themeColor="text1"/>
          <w:sz w:val="28"/>
          <w:szCs w:val="28"/>
          <w:highlight w:val="none"/>
          <w14:textFill>
            <w14:solidFill>
              <w14:schemeClr w14:val="tx1"/>
            </w14:solidFill>
          </w14:textFill>
        </w:rPr>
        <w:t>2.2</w:t>
      </w:r>
      <w:bookmarkEnd w:id="309"/>
      <w:bookmarkEnd w:id="310"/>
      <w:bookmarkEnd w:id="311"/>
      <w:bookmarkEnd w:id="312"/>
      <w:bookmarkEnd w:id="313"/>
      <w:bookmarkEnd w:id="314"/>
      <w:bookmarkEnd w:id="315"/>
      <w:bookmarkEnd w:id="316"/>
      <w:bookmarkEnd w:id="317"/>
      <w:bookmarkEnd w:id="318"/>
      <w:bookmarkEnd w:id="319"/>
      <w:bookmarkEnd w:id="320"/>
      <w:r>
        <w:rPr>
          <w:rFonts w:hint="eastAsia" w:ascii="宋体" w:hAnsi="宋体" w:eastAsia="宋体" w:cs="宋体"/>
          <w:b/>
          <w:bCs/>
          <w:color w:val="000000" w:themeColor="text1"/>
          <w:sz w:val="28"/>
          <w:szCs w:val="28"/>
          <w:highlight w:val="none"/>
          <w14:textFill>
            <w14:solidFill>
              <w14:schemeClr w14:val="tx1"/>
            </w14:solidFill>
          </w14:textFill>
        </w:rPr>
        <w:t>招标文件的疑问、澄清、说明或者补正</w:t>
      </w:r>
    </w:p>
    <w:p w14:paraId="5CBF2D08">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2.2.1投标人对招标文件提出疑问的，应在投标须知前附表规定的时间内在电子交易系统中提出。</w:t>
      </w:r>
    </w:p>
    <w:p w14:paraId="4AF18F88">
      <w:pPr>
        <w:spacing w:line="360" w:lineRule="auto"/>
        <w:ind w:right="42" w:rightChars="20"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2.2.2 采购人将在电子交易系统等原公告媒体将招标文件的澄清、说明或者补正进行公示，</w:t>
      </w:r>
      <w:r>
        <w:rPr>
          <w:rFonts w:hint="eastAsia" w:ascii="宋体" w:hAnsi="宋体" w:eastAsia="宋体" w:cs="宋体"/>
          <w:color w:val="000000" w:themeColor="text1"/>
          <w:highlight w:val="none"/>
          <w14:textFill>
            <w14:solidFill>
              <w14:schemeClr w14:val="tx1"/>
            </w14:solidFill>
          </w14:textFill>
        </w:rPr>
        <w:t>此公示视作已送达所有投标人</w:t>
      </w:r>
      <w:r>
        <w:rPr>
          <w:rFonts w:hint="eastAsia" w:ascii="宋体" w:hAnsi="宋体" w:eastAsia="宋体" w:cs="宋体"/>
          <w:color w:val="000000" w:themeColor="text1"/>
          <w:szCs w:val="21"/>
          <w:highlight w:val="none"/>
          <w14:textFill>
            <w14:solidFill>
              <w14:schemeClr w14:val="tx1"/>
            </w14:solidFill>
          </w14:textFill>
        </w:rPr>
        <w:t>。如果澄清、说明或者补正发出的时间距投标人须知前附表规定的投标截止时间不足15日，并且澄清、说明或者补正内容影响投标文件编制的，将相应延长投标截止时间。</w:t>
      </w:r>
    </w:p>
    <w:p w14:paraId="54BFD3DF">
      <w:pPr>
        <w:widowControl/>
        <w:spacing w:line="360" w:lineRule="auto"/>
        <w:ind w:right="42" w:rightChars="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2.2.3除非采购人认为有必要答复，否则，采购人有权拒绝回复投标人在本章第2.2.1项规定的时间后的任何澄清要求。</w:t>
      </w:r>
    </w:p>
    <w:p w14:paraId="23BDAFEE">
      <w:pPr>
        <w:widowControl/>
        <w:spacing w:line="360" w:lineRule="auto"/>
        <w:ind w:right="42" w:rightChars="20" w:firstLine="424" w:firstLineChars="202"/>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2.2.4投标人应及时关注电子交易系统等公告媒体发布的与招标项目相关的信息，如因投标人自身原因未及时获取有关信息，由此造成的对投标不利的后果由投标人自负。</w:t>
      </w:r>
    </w:p>
    <w:p w14:paraId="38370060">
      <w:pPr>
        <w:keepNext/>
        <w:keepLines/>
        <w:pageBreakBefore w:val="0"/>
        <w:widowControl w:val="0"/>
        <w:kinsoku/>
        <w:wordWrap/>
        <w:overflowPunct/>
        <w:topLinePunct w:val="0"/>
        <w:autoSpaceDE/>
        <w:autoSpaceDN/>
        <w:bidi w:val="0"/>
        <w:adjustRightInd/>
        <w:snapToGrid/>
        <w:spacing w:before="260" w:after="260" w:line="413" w:lineRule="auto"/>
        <w:textAlignment w:val="auto"/>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321" w:name="_Toc152045546"/>
      <w:bookmarkStart w:id="322" w:name="_Toc57369410"/>
      <w:bookmarkStart w:id="323" w:name="_Toc179632564"/>
      <w:bookmarkStart w:id="324" w:name="_Toc247085705"/>
      <w:bookmarkStart w:id="325" w:name="_Toc144974514"/>
      <w:bookmarkStart w:id="326" w:name="_Toc21404"/>
      <w:bookmarkStart w:id="327" w:name="_Toc246996191"/>
      <w:bookmarkStart w:id="328" w:name="_Toc81321224"/>
      <w:bookmarkStart w:id="329" w:name="_Toc26305"/>
      <w:bookmarkStart w:id="330" w:name="_Toc135648904"/>
      <w:bookmarkStart w:id="331" w:name="_Toc7141"/>
      <w:bookmarkStart w:id="332" w:name="_Toc152042322"/>
      <w:bookmarkStart w:id="333" w:name="_Toc246996934"/>
      <w:r>
        <w:rPr>
          <w:rFonts w:hint="eastAsia" w:ascii="宋体" w:hAnsi="宋体" w:eastAsia="宋体" w:cs="宋体"/>
          <w:b/>
          <w:bCs/>
          <w:color w:val="000000" w:themeColor="text1"/>
          <w:kern w:val="0"/>
          <w:sz w:val="32"/>
          <w:szCs w:val="32"/>
          <w:highlight w:val="none"/>
          <w14:textFill>
            <w14:solidFill>
              <w14:schemeClr w14:val="tx1"/>
            </w14:solidFill>
          </w14:textFill>
        </w:rPr>
        <w:t>3. 投标文件</w:t>
      </w:r>
      <w:bookmarkEnd w:id="321"/>
      <w:bookmarkEnd w:id="322"/>
      <w:bookmarkEnd w:id="323"/>
      <w:bookmarkEnd w:id="324"/>
      <w:bookmarkEnd w:id="325"/>
      <w:bookmarkEnd w:id="326"/>
      <w:bookmarkEnd w:id="327"/>
      <w:bookmarkEnd w:id="328"/>
      <w:bookmarkEnd w:id="329"/>
      <w:bookmarkEnd w:id="330"/>
      <w:bookmarkEnd w:id="331"/>
      <w:bookmarkEnd w:id="332"/>
      <w:bookmarkEnd w:id="333"/>
    </w:p>
    <w:p w14:paraId="359CDC03">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334" w:name="_Toc415819212"/>
      <w:bookmarkStart w:id="335" w:name="_Toc4811"/>
      <w:bookmarkStart w:id="336" w:name="_Toc19365"/>
      <w:bookmarkStart w:id="337" w:name="_Toc246996935"/>
      <w:bookmarkStart w:id="338" w:name="_Toc22603"/>
      <w:bookmarkStart w:id="339" w:name="_Toc144974515"/>
      <w:bookmarkStart w:id="340" w:name="_Toc152045547"/>
      <w:bookmarkStart w:id="341" w:name="_Toc152042323"/>
      <w:bookmarkStart w:id="342" w:name="_Toc179632565"/>
      <w:bookmarkStart w:id="343" w:name="_Toc247085706"/>
      <w:bookmarkStart w:id="344" w:name="_Toc417333985"/>
      <w:bookmarkStart w:id="345" w:name="_Toc246996192"/>
      <w:r>
        <w:rPr>
          <w:rFonts w:hint="eastAsia" w:ascii="宋体" w:hAnsi="宋体" w:eastAsia="宋体" w:cs="宋体"/>
          <w:b/>
          <w:bCs/>
          <w:color w:val="000000" w:themeColor="text1"/>
          <w:sz w:val="28"/>
          <w:szCs w:val="28"/>
          <w:highlight w:val="none"/>
          <w14:textFill>
            <w14:solidFill>
              <w14:schemeClr w14:val="tx1"/>
            </w14:solidFill>
          </w14:textFill>
        </w:rPr>
        <w:t>3.1 投标文件的组成</w:t>
      </w:r>
      <w:bookmarkEnd w:id="334"/>
      <w:bookmarkEnd w:id="335"/>
      <w:bookmarkEnd w:id="336"/>
      <w:bookmarkEnd w:id="337"/>
      <w:bookmarkEnd w:id="338"/>
      <w:bookmarkEnd w:id="339"/>
      <w:bookmarkEnd w:id="340"/>
      <w:bookmarkEnd w:id="341"/>
      <w:bookmarkEnd w:id="342"/>
      <w:bookmarkEnd w:id="343"/>
      <w:bookmarkEnd w:id="344"/>
      <w:bookmarkEnd w:id="345"/>
    </w:p>
    <w:p w14:paraId="18E8A7ED">
      <w:pPr>
        <w:spacing w:line="360" w:lineRule="auto"/>
        <w:ind w:firstLine="210" w:firstLineChars="1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投标文件至少应包括第六章投标文件格式要求的内容。</w:t>
      </w:r>
    </w:p>
    <w:p w14:paraId="1DDD3886">
      <w:pPr>
        <w:keepNext/>
        <w:keepLines/>
        <w:spacing w:before="280" w:after="290" w:line="376" w:lineRule="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346" w:name="_Toc247085707"/>
      <w:bookmarkStart w:id="347" w:name="_Toc7902"/>
      <w:bookmarkStart w:id="348" w:name="_Toc246996936"/>
      <w:bookmarkStart w:id="349" w:name="_Toc144974516"/>
      <w:bookmarkStart w:id="350" w:name="_Toc10834"/>
      <w:bookmarkStart w:id="351" w:name="_Toc417333986"/>
      <w:bookmarkStart w:id="352" w:name="_Toc152042324"/>
      <w:bookmarkStart w:id="353" w:name="_Toc28278"/>
      <w:bookmarkStart w:id="354" w:name="_Toc152045548"/>
      <w:bookmarkStart w:id="355" w:name="_Toc246996193"/>
      <w:bookmarkStart w:id="356" w:name="_Toc415819213"/>
      <w:bookmarkStart w:id="357" w:name="_Toc179632566"/>
      <w:r>
        <w:rPr>
          <w:rFonts w:hint="eastAsia" w:ascii="宋体" w:hAnsi="宋体" w:eastAsia="宋体" w:cs="宋体"/>
          <w:b/>
          <w:bCs/>
          <w:color w:val="000000" w:themeColor="text1"/>
          <w:sz w:val="28"/>
          <w:szCs w:val="28"/>
          <w:highlight w:val="none"/>
          <w14:textFill>
            <w14:solidFill>
              <w14:schemeClr w14:val="tx1"/>
            </w14:solidFill>
          </w14:textFill>
        </w:rPr>
        <w:t>3.2 投标报价</w:t>
      </w:r>
      <w:bookmarkEnd w:id="346"/>
      <w:bookmarkEnd w:id="347"/>
      <w:bookmarkEnd w:id="348"/>
      <w:bookmarkEnd w:id="349"/>
      <w:bookmarkEnd w:id="350"/>
      <w:bookmarkEnd w:id="351"/>
      <w:bookmarkEnd w:id="352"/>
      <w:bookmarkEnd w:id="353"/>
      <w:bookmarkEnd w:id="354"/>
      <w:bookmarkEnd w:id="355"/>
      <w:bookmarkEnd w:id="356"/>
      <w:bookmarkEnd w:id="357"/>
    </w:p>
    <w:p w14:paraId="74EF2343">
      <w:pPr>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3.2.1投标人应参考采购人提供的招标内容，考虑物价上涨、政策性调整等诸多因素，结合本项目实</w:t>
      </w:r>
      <w:r>
        <w:rPr>
          <w:rFonts w:hint="eastAsia" w:ascii="宋体" w:hAnsi="宋体" w:eastAsia="宋体" w:cs="宋体"/>
          <w:color w:val="000000" w:themeColor="text1"/>
          <w:szCs w:val="24"/>
          <w:highlight w:val="none"/>
          <w14:textFill>
            <w14:solidFill>
              <w14:schemeClr w14:val="tx1"/>
            </w14:solidFill>
          </w14:textFill>
        </w:rPr>
        <w:t>际情况和企业成本、市场行情自主报价。</w:t>
      </w:r>
    </w:p>
    <w:p w14:paraId="16DE9E04">
      <w:pPr>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除非</w:t>
      </w:r>
      <w:r>
        <w:rPr>
          <w:rFonts w:hint="eastAsia" w:ascii="宋体" w:hAnsi="宋体" w:eastAsia="宋体" w:cs="宋体"/>
          <w:color w:val="000000" w:themeColor="text1"/>
          <w:highlight w:val="none"/>
          <w14:textFill>
            <w14:solidFill>
              <w14:schemeClr w14:val="tx1"/>
            </w14:solidFill>
          </w14:textFill>
        </w:rPr>
        <w:t>采购人</w:t>
      </w:r>
      <w:r>
        <w:rPr>
          <w:rFonts w:hint="eastAsia" w:ascii="宋体" w:hAnsi="宋体" w:eastAsia="宋体" w:cs="宋体"/>
          <w:color w:val="000000" w:themeColor="text1"/>
          <w:szCs w:val="24"/>
          <w:highlight w:val="none"/>
          <w14:textFill>
            <w14:solidFill>
              <w14:schemeClr w14:val="tx1"/>
            </w14:solidFill>
          </w14:textFill>
        </w:rPr>
        <w:t>对招标文件予以修改，投标人应按</w:t>
      </w:r>
      <w:r>
        <w:rPr>
          <w:rFonts w:hint="eastAsia" w:ascii="宋体" w:hAnsi="宋体" w:eastAsia="宋体" w:cs="宋体"/>
          <w:color w:val="000000" w:themeColor="text1"/>
          <w:highlight w:val="none"/>
          <w14:textFill>
            <w14:solidFill>
              <w14:schemeClr w14:val="tx1"/>
            </w14:solidFill>
          </w14:textFill>
        </w:rPr>
        <w:t>采购人</w:t>
      </w:r>
      <w:r>
        <w:rPr>
          <w:rFonts w:hint="eastAsia" w:ascii="宋体" w:hAnsi="宋体" w:eastAsia="宋体" w:cs="宋体"/>
          <w:color w:val="000000" w:themeColor="text1"/>
          <w:szCs w:val="24"/>
          <w:highlight w:val="none"/>
          <w14:textFill>
            <w14:solidFill>
              <w14:schemeClr w14:val="tx1"/>
            </w14:solidFill>
          </w14:textFill>
        </w:rPr>
        <w:t>采购项目和采购内容计算单价和合价。每一项目只允许有一个报价，任何有选择的报价将不予接受。投标人未填单价或合价的项目，在实施后，</w:t>
      </w:r>
      <w:r>
        <w:rPr>
          <w:rFonts w:hint="eastAsia" w:ascii="宋体" w:hAnsi="宋体" w:eastAsia="宋体" w:cs="宋体"/>
          <w:color w:val="000000" w:themeColor="text1"/>
          <w:highlight w:val="none"/>
          <w14:textFill>
            <w14:solidFill>
              <w14:schemeClr w14:val="tx1"/>
            </w14:solidFill>
          </w14:textFill>
        </w:rPr>
        <w:t>采购人</w:t>
      </w:r>
      <w:r>
        <w:rPr>
          <w:rFonts w:hint="eastAsia" w:ascii="宋体" w:hAnsi="宋体" w:eastAsia="宋体" w:cs="宋体"/>
          <w:color w:val="000000" w:themeColor="text1"/>
          <w:szCs w:val="24"/>
          <w:highlight w:val="none"/>
          <w14:textFill>
            <w14:solidFill>
              <w14:schemeClr w14:val="tx1"/>
            </w14:solidFill>
          </w14:textFill>
        </w:rPr>
        <w:t>将不予支付，并视为该项费用已包括在其他有价款的单价或合价内。投标人在投标文件中提出的各项支付金额的总和，也应是完成所列招标采购范围的全部，不得以任何理由予以重复。</w:t>
      </w:r>
    </w:p>
    <w:p w14:paraId="0774EEDC">
      <w:pPr>
        <w:spacing w:line="360" w:lineRule="auto"/>
        <w:ind w:right="-1" w:firstLine="424" w:firstLineChars="202"/>
        <w:rPr>
          <w:rFonts w:hint="eastAsia" w:ascii="宋体" w:hAnsi="宋体" w:eastAsia="宋体" w:cs="宋体"/>
          <w:color w:val="000000" w:themeColor="text1"/>
          <w:szCs w:val="24"/>
          <w:highlight w:val="none"/>
          <w14:textFill>
            <w14:solidFill>
              <w14:schemeClr w14:val="tx1"/>
            </w14:solidFill>
          </w14:textFill>
        </w:rPr>
      </w:pPr>
      <w:bookmarkStart w:id="358" w:name="_Toc179632567"/>
      <w:bookmarkStart w:id="359" w:name="_Toc152045549"/>
      <w:bookmarkStart w:id="360" w:name="_Toc152042325"/>
      <w:bookmarkStart w:id="361" w:name="_Toc144974517"/>
      <w:r>
        <w:rPr>
          <w:rFonts w:hint="eastAsia" w:ascii="宋体" w:hAnsi="宋体" w:eastAsia="宋体" w:cs="宋体"/>
          <w:color w:val="000000" w:themeColor="text1"/>
          <w:szCs w:val="24"/>
          <w:highlight w:val="none"/>
          <w14:textFill>
            <w14:solidFill>
              <w14:schemeClr w14:val="tx1"/>
            </w14:solidFill>
          </w14:textFill>
        </w:rPr>
        <w:t>3.2.2采购人设有最高投标限价的，投标人的投标报价不得超过最高投标限价，最高投标限价或其计算方法在投标人须知前附表中载明。</w:t>
      </w:r>
    </w:p>
    <w:p w14:paraId="0BB1F2A6">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362" w:name="_Toc22703"/>
      <w:bookmarkStart w:id="363" w:name="_Toc246996937"/>
      <w:bookmarkStart w:id="364" w:name="_Toc57369411"/>
      <w:bookmarkStart w:id="365" w:name="_Toc40708388"/>
      <w:bookmarkStart w:id="366" w:name="_Toc40519003"/>
      <w:bookmarkStart w:id="367" w:name="_Toc81321225"/>
      <w:bookmarkStart w:id="368" w:name="_Toc135648905"/>
      <w:bookmarkStart w:id="369" w:name="_Toc40795892"/>
      <w:bookmarkStart w:id="370" w:name="_Toc415819214"/>
      <w:bookmarkStart w:id="371" w:name="_Toc135922553"/>
      <w:bookmarkStart w:id="372" w:name="_Toc28469"/>
      <w:bookmarkStart w:id="373" w:name="_Toc247085708"/>
      <w:bookmarkStart w:id="374" w:name="_Toc6031"/>
      <w:bookmarkStart w:id="375" w:name="_Toc246996194"/>
      <w:bookmarkStart w:id="376" w:name="_Toc417333987"/>
      <w:r>
        <w:rPr>
          <w:rFonts w:hint="eastAsia" w:ascii="宋体" w:hAnsi="宋体" w:eastAsia="宋体" w:cs="宋体"/>
          <w:b/>
          <w:bCs/>
          <w:color w:val="000000" w:themeColor="text1"/>
          <w:sz w:val="28"/>
          <w:szCs w:val="28"/>
          <w:highlight w:val="none"/>
          <w14:textFill>
            <w14:solidFill>
              <w14:schemeClr w14:val="tx1"/>
            </w14:solidFill>
          </w14:textFill>
        </w:rPr>
        <w:t>3.3 投标有效期</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5054A926">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3.3.1 详见投标人须知前附表。</w:t>
      </w:r>
    </w:p>
    <w:p w14:paraId="4BBBCD83">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3.3.2在投标有效期内，投标人撤销或修改其投标文件的，应承担招标文件和法律规定的责任。</w:t>
      </w:r>
    </w:p>
    <w:p w14:paraId="3FFD8F5F">
      <w:pPr>
        <w:spacing w:line="400" w:lineRule="exact"/>
        <w:ind w:right="-1"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3.3.3出现特殊情况需要延长投标有效期的，采购人通知所有投标人延长投标有效期。投标人同意延长的，应相应延长其投标保证金的有效期，但不得要求或被允许修改或撤销其投标文件；投标人拒绝延长的，其投标失效</w:t>
      </w:r>
      <w:r>
        <w:rPr>
          <w:rFonts w:hint="eastAsia" w:ascii="宋体" w:hAnsi="宋体" w:eastAsia="宋体" w:cs="宋体"/>
          <w:color w:val="000000" w:themeColor="text1"/>
          <w:highlight w:val="none"/>
          <w14:textFill>
            <w14:solidFill>
              <w14:schemeClr w14:val="tx1"/>
            </w14:solidFill>
          </w14:textFill>
        </w:rPr>
        <w:t>，但投标人有权收回其投标保证金。</w:t>
      </w:r>
    </w:p>
    <w:p w14:paraId="0444C43C">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Cs/>
          <w:color w:val="000000" w:themeColor="text1"/>
          <w:sz w:val="28"/>
          <w:szCs w:val="28"/>
          <w:highlight w:val="none"/>
          <w14:textFill>
            <w14:solidFill>
              <w14:schemeClr w14:val="tx1"/>
            </w14:solidFill>
          </w14:textFill>
        </w:rPr>
      </w:pPr>
      <w:bookmarkStart w:id="377" w:name="_Toc247085709"/>
      <w:bookmarkStart w:id="378" w:name="_Toc415819215"/>
      <w:bookmarkStart w:id="379" w:name="_Toc246996195"/>
      <w:bookmarkStart w:id="380" w:name="_Toc417333988"/>
      <w:bookmarkStart w:id="381" w:name="_Toc152042326"/>
      <w:bookmarkStart w:id="382" w:name="_Toc246996938"/>
      <w:bookmarkStart w:id="383" w:name="_Toc12397"/>
      <w:bookmarkStart w:id="384" w:name="_Toc22305"/>
      <w:bookmarkStart w:id="385" w:name="_Toc179632568"/>
      <w:bookmarkStart w:id="386" w:name="_Toc27694"/>
      <w:bookmarkStart w:id="387" w:name="_Toc144974518"/>
      <w:bookmarkStart w:id="388" w:name="_Toc152045550"/>
      <w:bookmarkStart w:id="389" w:name="_Toc135648906"/>
      <w:bookmarkStart w:id="390" w:name="_Toc81321226"/>
      <w:bookmarkStart w:id="391" w:name="_Toc40519004"/>
      <w:bookmarkStart w:id="392" w:name="_Toc40795893"/>
      <w:bookmarkStart w:id="393" w:name="_Toc135922554"/>
      <w:bookmarkStart w:id="394" w:name="_Toc40708389"/>
      <w:bookmarkStart w:id="395" w:name="_Toc57369412"/>
      <w:r>
        <w:rPr>
          <w:rFonts w:hint="eastAsia" w:ascii="宋体" w:hAnsi="宋体" w:eastAsia="宋体" w:cs="宋体"/>
          <w:b/>
          <w:color w:val="000000" w:themeColor="text1"/>
          <w:sz w:val="28"/>
          <w:szCs w:val="28"/>
          <w:highlight w:val="none"/>
          <w14:textFill>
            <w14:solidFill>
              <w14:schemeClr w14:val="tx1"/>
            </w14:solidFill>
          </w14:textFill>
        </w:rPr>
        <w:t>3.4 投标保证金</w:t>
      </w:r>
      <w:bookmarkEnd w:id="377"/>
      <w:bookmarkEnd w:id="378"/>
      <w:bookmarkEnd w:id="379"/>
      <w:bookmarkEnd w:id="380"/>
      <w:bookmarkEnd w:id="381"/>
      <w:bookmarkEnd w:id="382"/>
      <w:bookmarkEnd w:id="383"/>
      <w:bookmarkEnd w:id="384"/>
      <w:bookmarkEnd w:id="385"/>
      <w:bookmarkEnd w:id="386"/>
      <w:bookmarkEnd w:id="387"/>
      <w:bookmarkEnd w:id="388"/>
      <w:r>
        <w:rPr>
          <w:rFonts w:hint="eastAsia" w:ascii="宋体" w:hAnsi="宋体" w:eastAsia="宋体" w:cs="宋体"/>
          <w:b/>
          <w:color w:val="000000" w:themeColor="text1"/>
          <w:sz w:val="28"/>
          <w:szCs w:val="28"/>
          <w:highlight w:val="none"/>
          <w14:textFill>
            <w14:solidFill>
              <w14:schemeClr w14:val="tx1"/>
            </w14:solidFill>
          </w14:textFill>
        </w:rPr>
        <w:t>（不适用</w:t>
      </w:r>
      <w:r>
        <w:rPr>
          <w:rFonts w:hint="eastAsia" w:ascii="宋体" w:hAnsi="宋体" w:eastAsia="宋体" w:cs="宋体"/>
          <w:bCs/>
          <w:color w:val="000000" w:themeColor="text1"/>
          <w:sz w:val="28"/>
          <w:szCs w:val="28"/>
          <w:highlight w:val="none"/>
          <w14:textFill>
            <w14:solidFill>
              <w14:schemeClr w14:val="tx1"/>
            </w14:solidFill>
          </w14:textFill>
        </w:rPr>
        <w:t>）</w:t>
      </w:r>
      <w:bookmarkEnd w:id="389"/>
      <w:bookmarkEnd w:id="390"/>
      <w:bookmarkEnd w:id="391"/>
      <w:bookmarkEnd w:id="392"/>
      <w:bookmarkEnd w:id="393"/>
      <w:bookmarkEnd w:id="394"/>
      <w:bookmarkEnd w:id="395"/>
    </w:p>
    <w:p w14:paraId="7C239925">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396" w:name="_Toc97"/>
      <w:bookmarkStart w:id="397" w:name="_Toc135922555"/>
      <w:bookmarkStart w:id="398" w:name="_Toc40708390"/>
      <w:bookmarkStart w:id="399" w:name="_Toc27983"/>
      <w:bookmarkStart w:id="400" w:name="_Toc57369413"/>
      <w:bookmarkStart w:id="401" w:name="_Toc40519005"/>
      <w:bookmarkStart w:id="402" w:name="_Toc81321227"/>
      <w:bookmarkStart w:id="403" w:name="_Toc417333990"/>
      <w:bookmarkStart w:id="404" w:name="_Toc415819217"/>
      <w:bookmarkStart w:id="405" w:name="_Toc40795894"/>
      <w:bookmarkStart w:id="406" w:name="_Toc135648907"/>
      <w:bookmarkStart w:id="407" w:name="_Toc32406"/>
      <w:bookmarkStart w:id="408" w:name="_Toc144974521"/>
      <w:bookmarkStart w:id="409" w:name="_Toc246996197"/>
      <w:bookmarkStart w:id="410" w:name="_Toc152045553"/>
      <w:bookmarkStart w:id="411" w:name="_Toc179632571"/>
      <w:bookmarkStart w:id="412" w:name="_Toc247085711"/>
      <w:bookmarkStart w:id="413" w:name="_Toc152042329"/>
      <w:bookmarkStart w:id="414" w:name="_Toc246996940"/>
      <w:r>
        <w:rPr>
          <w:rFonts w:hint="eastAsia" w:ascii="宋体" w:hAnsi="宋体" w:eastAsia="宋体" w:cs="宋体"/>
          <w:b/>
          <w:bCs/>
          <w:color w:val="000000" w:themeColor="text1"/>
          <w:sz w:val="28"/>
          <w:szCs w:val="28"/>
          <w:highlight w:val="none"/>
          <w14:textFill>
            <w14:solidFill>
              <w14:schemeClr w14:val="tx1"/>
            </w14:solidFill>
          </w14:textFill>
        </w:rPr>
        <w:t>3.5 投标文件的编制</w:t>
      </w:r>
      <w:bookmarkEnd w:id="396"/>
      <w:bookmarkEnd w:id="397"/>
      <w:bookmarkEnd w:id="398"/>
      <w:bookmarkEnd w:id="399"/>
      <w:bookmarkEnd w:id="400"/>
      <w:bookmarkEnd w:id="401"/>
      <w:bookmarkEnd w:id="402"/>
      <w:bookmarkEnd w:id="403"/>
      <w:bookmarkEnd w:id="404"/>
      <w:bookmarkEnd w:id="405"/>
      <w:bookmarkEnd w:id="406"/>
      <w:bookmarkEnd w:id="407"/>
    </w:p>
    <w:p w14:paraId="5D484CB4">
      <w:pPr>
        <w:spacing w:line="360" w:lineRule="auto"/>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投标文件须按第六章“投标文件格式”进行编写，提供有格式的须按照招标文件格式填写；如有必要，可以增加附页，作为投标文件的组成部分。其中，</w:t>
      </w:r>
      <w:r>
        <w:rPr>
          <w:rFonts w:hint="eastAsia" w:ascii="宋体" w:hAnsi="宋体" w:eastAsia="宋体" w:cs="宋体"/>
          <w:color w:val="000000" w:themeColor="text1"/>
          <w:szCs w:val="24"/>
          <w:highlight w:val="none"/>
          <w:lang w:eastAsia="zh-CN"/>
          <w14:textFill>
            <w14:solidFill>
              <w14:schemeClr w14:val="tx1"/>
            </w14:solidFill>
          </w14:textFill>
        </w:rPr>
        <w:t>投标函附录</w:t>
      </w:r>
      <w:r>
        <w:rPr>
          <w:rFonts w:hint="eastAsia" w:ascii="宋体" w:hAnsi="宋体" w:eastAsia="宋体" w:cs="宋体"/>
          <w:color w:val="000000" w:themeColor="text1"/>
          <w:szCs w:val="24"/>
          <w:highlight w:val="none"/>
          <w14:textFill>
            <w14:solidFill>
              <w14:schemeClr w14:val="tx1"/>
            </w14:solidFill>
          </w14:textFill>
        </w:rPr>
        <w:t>在满足招标文件实质性要求的基础上，可以提出比招标文件要求更有利于采购人的承诺。</w:t>
      </w:r>
    </w:p>
    <w:bookmarkEnd w:id="408"/>
    <w:bookmarkEnd w:id="409"/>
    <w:bookmarkEnd w:id="410"/>
    <w:bookmarkEnd w:id="411"/>
    <w:bookmarkEnd w:id="412"/>
    <w:bookmarkEnd w:id="413"/>
    <w:bookmarkEnd w:id="414"/>
    <w:p w14:paraId="55E86824">
      <w:pPr>
        <w:keepNext/>
        <w:keepLines/>
        <w:pageBreakBefore w:val="0"/>
        <w:widowControl w:val="0"/>
        <w:kinsoku/>
        <w:wordWrap/>
        <w:overflowPunct/>
        <w:topLinePunct w:val="0"/>
        <w:autoSpaceDE/>
        <w:autoSpaceDN/>
        <w:bidi w:val="0"/>
        <w:adjustRightInd/>
        <w:snapToGrid/>
        <w:spacing w:line="413" w:lineRule="auto"/>
        <w:textAlignment w:val="auto"/>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415" w:name="_Toc57369414"/>
      <w:bookmarkStart w:id="416" w:name="_Toc29306"/>
      <w:bookmarkStart w:id="417" w:name="_Toc246996942"/>
      <w:bookmarkStart w:id="418" w:name="_Toc247085713"/>
      <w:bookmarkStart w:id="419" w:name="_Toc144974523"/>
      <w:bookmarkStart w:id="420" w:name="_Toc246996199"/>
      <w:bookmarkStart w:id="421" w:name="_Toc152042331"/>
      <w:bookmarkStart w:id="422" w:name="_Toc81321228"/>
      <w:bookmarkStart w:id="423" w:name="_Toc179632573"/>
      <w:bookmarkStart w:id="424" w:name="_Toc21416"/>
      <w:bookmarkStart w:id="425" w:name="_Toc135648908"/>
      <w:bookmarkStart w:id="426" w:name="_Toc152045555"/>
      <w:bookmarkStart w:id="427" w:name="_Toc9991"/>
      <w:r>
        <w:rPr>
          <w:rFonts w:hint="eastAsia" w:ascii="宋体" w:hAnsi="宋体" w:eastAsia="宋体" w:cs="宋体"/>
          <w:b/>
          <w:bCs/>
          <w:color w:val="000000" w:themeColor="text1"/>
          <w:kern w:val="0"/>
          <w:sz w:val="32"/>
          <w:szCs w:val="32"/>
          <w:highlight w:val="none"/>
          <w14:textFill>
            <w14:solidFill>
              <w14:schemeClr w14:val="tx1"/>
            </w14:solidFill>
          </w14:textFill>
        </w:rPr>
        <w:t>4. 投标</w:t>
      </w:r>
      <w:bookmarkEnd w:id="415"/>
      <w:bookmarkEnd w:id="416"/>
      <w:bookmarkEnd w:id="417"/>
      <w:bookmarkEnd w:id="418"/>
      <w:bookmarkEnd w:id="419"/>
      <w:bookmarkEnd w:id="420"/>
      <w:bookmarkEnd w:id="421"/>
      <w:bookmarkEnd w:id="422"/>
      <w:bookmarkEnd w:id="423"/>
      <w:bookmarkEnd w:id="424"/>
      <w:bookmarkEnd w:id="425"/>
      <w:bookmarkEnd w:id="426"/>
      <w:bookmarkEnd w:id="427"/>
    </w:p>
    <w:p w14:paraId="5A0A25EA">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428" w:name="_Toc246996201"/>
      <w:bookmarkStart w:id="429" w:name="_Toc2436"/>
      <w:bookmarkStart w:id="430" w:name="_Toc144974525"/>
      <w:bookmarkStart w:id="431" w:name="_Toc417333993"/>
      <w:bookmarkStart w:id="432" w:name="_Toc179632575"/>
      <w:bookmarkStart w:id="433" w:name="_Toc247085715"/>
      <w:bookmarkStart w:id="434" w:name="_Toc152042333"/>
      <w:bookmarkStart w:id="435" w:name="_Toc2976"/>
      <w:bookmarkStart w:id="436" w:name="_Toc415819220"/>
      <w:bookmarkStart w:id="437" w:name="_Toc246996944"/>
      <w:bookmarkStart w:id="438" w:name="_Toc152045557"/>
      <w:bookmarkStart w:id="439" w:name="_Toc19529"/>
      <w:r>
        <w:rPr>
          <w:rFonts w:hint="eastAsia" w:ascii="宋体" w:hAnsi="宋体" w:eastAsia="宋体" w:cs="宋体"/>
          <w:b/>
          <w:bCs/>
          <w:color w:val="000000" w:themeColor="text1"/>
          <w:sz w:val="28"/>
          <w:szCs w:val="28"/>
          <w:highlight w:val="none"/>
          <w14:textFill>
            <w14:solidFill>
              <w14:schemeClr w14:val="tx1"/>
            </w14:solidFill>
          </w14:textFill>
        </w:rPr>
        <w:t>4.1 投标文件的递交</w:t>
      </w:r>
      <w:bookmarkEnd w:id="428"/>
      <w:bookmarkEnd w:id="429"/>
      <w:bookmarkEnd w:id="430"/>
      <w:bookmarkEnd w:id="431"/>
      <w:bookmarkEnd w:id="432"/>
      <w:bookmarkEnd w:id="433"/>
      <w:bookmarkEnd w:id="434"/>
      <w:bookmarkEnd w:id="435"/>
      <w:bookmarkEnd w:id="436"/>
      <w:bookmarkEnd w:id="437"/>
      <w:bookmarkEnd w:id="438"/>
      <w:bookmarkEnd w:id="439"/>
    </w:p>
    <w:p w14:paraId="6D049AC4">
      <w:pPr>
        <w:spacing w:line="360" w:lineRule="auto"/>
        <w:ind w:firstLine="210" w:firstLineChars="1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4.1.1 投标人应在</w:t>
      </w:r>
      <w:r>
        <w:rPr>
          <w:rFonts w:hint="eastAsia" w:ascii="宋体" w:hAnsi="宋体" w:eastAsia="宋体" w:cs="宋体"/>
          <w:color w:val="000000" w:themeColor="text1"/>
          <w:szCs w:val="24"/>
          <w:highlight w:val="none"/>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须知前附表规定的投标截止时间前递交投标文件。</w:t>
      </w:r>
    </w:p>
    <w:p w14:paraId="38DB0D5A">
      <w:pPr>
        <w:spacing w:line="360" w:lineRule="auto"/>
        <w:ind w:firstLine="210" w:firstLineChars="1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4.1.2 投标人递交投标文件的地点：见</w:t>
      </w:r>
      <w:r>
        <w:rPr>
          <w:rFonts w:hint="eastAsia" w:ascii="宋体" w:hAnsi="宋体" w:eastAsia="宋体" w:cs="宋体"/>
          <w:color w:val="000000" w:themeColor="text1"/>
          <w:szCs w:val="24"/>
          <w:highlight w:val="none"/>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须知前附表。</w:t>
      </w:r>
    </w:p>
    <w:p w14:paraId="59C29F1B">
      <w:pPr>
        <w:spacing w:line="360" w:lineRule="auto"/>
        <w:ind w:firstLine="210" w:firstLineChars="1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4.1.3 除</w:t>
      </w:r>
      <w:r>
        <w:rPr>
          <w:rFonts w:hint="eastAsia" w:ascii="宋体" w:hAnsi="宋体" w:eastAsia="宋体" w:cs="宋体"/>
          <w:color w:val="000000" w:themeColor="text1"/>
          <w:szCs w:val="24"/>
          <w:highlight w:val="none"/>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须知前附表另有规定外，投标人所递交的投标文件不予退还。</w:t>
      </w:r>
    </w:p>
    <w:p w14:paraId="23354D50">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440" w:name="_Toc247085716"/>
      <w:bookmarkStart w:id="441" w:name="_Toc26908"/>
      <w:bookmarkStart w:id="442" w:name="_Toc32471"/>
      <w:bookmarkStart w:id="443" w:name="_Toc152045558"/>
      <w:bookmarkStart w:id="444" w:name="_Toc179632576"/>
      <w:bookmarkStart w:id="445" w:name="_Toc144974526"/>
      <w:bookmarkStart w:id="446" w:name="_Toc415819221"/>
      <w:bookmarkStart w:id="447" w:name="_Toc152042334"/>
      <w:bookmarkStart w:id="448" w:name="_Toc246996202"/>
      <w:bookmarkStart w:id="449" w:name="_Toc246996945"/>
      <w:bookmarkStart w:id="450" w:name="_Toc417333994"/>
      <w:bookmarkStart w:id="451" w:name="_Toc29337"/>
      <w:r>
        <w:rPr>
          <w:rFonts w:hint="eastAsia" w:ascii="宋体" w:hAnsi="宋体" w:eastAsia="宋体" w:cs="宋体"/>
          <w:b/>
          <w:bCs/>
          <w:color w:val="000000" w:themeColor="text1"/>
          <w:sz w:val="28"/>
          <w:szCs w:val="28"/>
          <w:highlight w:val="none"/>
          <w14:textFill>
            <w14:solidFill>
              <w14:schemeClr w14:val="tx1"/>
            </w14:solidFill>
          </w14:textFill>
        </w:rPr>
        <w:t>4.2 投标文件的修改与撤回</w:t>
      </w:r>
      <w:bookmarkEnd w:id="440"/>
      <w:bookmarkEnd w:id="441"/>
      <w:bookmarkEnd w:id="442"/>
      <w:bookmarkEnd w:id="443"/>
      <w:bookmarkEnd w:id="444"/>
      <w:bookmarkEnd w:id="445"/>
      <w:bookmarkEnd w:id="446"/>
      <w:bookmarkEnd w:id="447"/>
      <w:bookmarkEnd w:id="448"/>
      <w:bookmarkEnd w:id="449"/>
      <w:bookmarkEnd w:id="450"/>
      <w:bookmarkEnd w:id="451"/>
    </w:p>
    <w:p w14:paraId="29607DF3">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4.2.1 在投标人须知前附表规定的投标截止时间前，投标人可以修改或撤回已递交的投标文件。</w:t>
      </w:r>
    </w:p>
    <w:p w14:paraId="0F6E5560">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4.2.2 投标人修改或撤回已递交投标文件的书面通知应按照招标文件要求签字或盖章。</w:t>
      </w:r>
    </w:p>
    <w:p w14:paraId="3FF80217">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4.2.3 修改的内容为投标文件的组成部分。修改的投标文件应按照本章第3条、第4条规定进行编制、标记和递交，并标明“修改”字样。</w:t>
      </w:r>
    </w:p>
    <w:p w14:paraId="5B592388">
      <w:pPr>
        <w:keepNext/>
        <w:keepLines/>
        <w:spacing w:before="260" w:after="260" w:line="412" w:lineRule="auto"/>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452" w:name="_Toc246996946"/>
      <w:bookmarkStart w:id="453" w:name="_Toc152045559"/>
      <w:bookmarkStart w:id="454" w:name="_Toc81321229"/>
      <w:bookmarkStart w:id="455" w:name="_Toc144974527"/>
      <w:bookmarkStart w:id="456" w:name="_Toc57369415"/>
      <w:bookmarkStart w:id="457" w:name="_Toc179632577"/>
      <w:bookmarkStart w:id="458" w:name="_Toc247085717"/>
      <w:bookmarkStart w:id="459" w:name="_Toc152042335"/>
      <w:bookmarkStart w:id="460" w:name="_Toc246996203"/>
      <w:bookmarkStart w:id="461" w:name="_Toc30875"/>
      <w:bookmarkStart w:id="462" w:name="_Toc135648909"/>
      <w:bookmarkStart w:id="463" w:name="_Toc12507"/>
      <w:bookmarkStart w:id="464" w:name="_Toc27605"/>
      <w:r>
        <w:rPr>
          <w:rFonts w:hint="eastAsia" w:ascii="宋体" w:hAnsi="宋体" w:eastAsia="宋体" w:cs="宋体"/>
          <w:b/>
          <w:bCs/>
          <w:color w:val="000000" w:themeColor="text1"/>
          <w:kern w:val="0"/>
          <w:sz w:val="32"/>
          <w:szCs w:val="32"/>
          <w:highlight w:val="none"/>
          <w14:textFill>
            <w14:solidFill>
              <w14:schemeClr w14:val="tx1"/>
            </w14:solidFill>
          </w14:textFill>
        </w:rPr>
        <w:t>5. 开标</w:t>
      </w:r>
      <w:bookmarkEnd w:id="452"/>
      <w:bookmarkEnd w:id="453"/>
      <w:bookmarkEnd w:id="454"/>
      <w:bookmarkEnd w:id="455"/>
      <w:bookmarkEnd w:id="456"/>
      <w:bookmarkEnd w:id="457"/>
      <w:bookmarkEnd w:id="458"/>
      <w:bookmarkEnd w:id="459"/>
      <w:bookmarkEnd w:id="460"/>
      <w:bookmarkEnd w:id="461"/>
      <w:bookmarkEnd w:id="462"/>
      <w:bookmarkEnd w:id="463"/>
      <w:bookmarkEnd w:id="464"/>
    </w:p>
    <w:p w14:paraId="10E16EF8">
      <w:pPr>
        <w:tabs>
          <w:tab w:val="center" w:pos="3316"/>
        </w:tabs>
        <w:spacing w:line="360" w:lineRule="auto"/>
        <w:ind w:firstLine="415" w:firstLineChars="197"/>
        <w:rPr>
          <w:rFonts w:hint="eastAsia" w:ascii="宋体" w:hAnsi="宋体" w:eastAsia="宋体" w:cs="宋体"/>
          <w:b/>
          <w:color w:val="000000" w:themeColor="text1"/>
          <w:szCs w:val="21"/>
          <w:highlight w:val="none"/>
          <w:shd w:val="clear" w:color="auto" w:fill="FFFFFF"/>
          <w14:textFill>
            <w14:solidFill>
              <w14:schemeClr w14:val="tx1"/>
            </w14:solidFill>
          </w14:textFill>
        </w:rPr>
      </w:pPr>
      <w:bookmarkStart w:id="465" w:name="_Toc81321230"/>
      <w:bookmarkStart w:id="466" w:name="_Toc152042338"/>
      <w:bookmarkStart w:id="467" w:name="_Toc16949"/>
      <w:bookmarkStart w:id="468" w:name="_Toc246996206"/>
      <w:bookmarkStart w:id="469" w:name="_Toc8191"/>
      <w:bookmarkStart w:id="470" w:name="_Toc144974530"/>
      <w:bookmarkStart w:id="471" w:name="_Toc247085720"/>
      <w:bookmarkStart w:id="472" w:name="_Toc179632580"/>
      <w:bookmarkStart w:id="473" w:name="_Toc246996949"/>
      <w:bookmarkStart w:id="474" w:name="_Toc57369416"/>
      <w:bookmarkStart w:id="475" w:name="_Toc31045"/>
      <w:bookmarkStart w:id="476" w:name="_Toc152045562"/>
      <w:r>
        <w:rPr>
          <w:rFonts w:hint="eastAsia" w:ascii="宋体" w:hAnsi="宋体" w:eastAsia="宋体" w:cs="宋体"/>
          <w:b/>
          <w:color w:val="000000" w:themeColor="text1"/>
          <w:szCs w:val="21"/>
          <w:highlight w:val="none"/>
          <w:shd w:val="clear" w:color="auto" w:fill="FFFFFF"/>
          <w14:textFill>
            <w14:solidFill>
              <w14:schemeClr w14:val="tx1"/>
            </w14:solidFill>
          </w14:textFill>
        </w:rPr>
        <w:t>5.1“不见面”开标注意事项及操作流程</w:t>
      </w:r>
    </w:p>
    <w:p w14:paraId="10D25CAC">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5.1.1采购人和代理机构应当提前做好各项准备工作，准时开标。</w:t>
      </w:r>
    </w:p>
    <w:p w14:paraId="633D75D3">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5.1.2开标时，投标人采用网上远程异地解密时，请用CA证书登录平顶山市公共资源交易中心业务系统，进入本项目不见面开标大厅点击解密来完成投标文件的解密工作。每位投标人的解密时间从开标时间起60分钟内完成，超过规定时间解密的投标文件不予接收。</w:t>
      </w:r>
    </w:p>
    <w:p w14:paraId="63F5BA68">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5.1.3如出现投标人的电子投标文件无法解密的情况，投标人应及时联系采购人（代理机构）进行说明。投标文件解密异常，按以下步骤进行处理：</w:t>
      </w:r>
    </w:p>
    <w:p w14:paraId="39674328">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（1）如果是投标文件自身问题导致投标文件无法解密的，该投标文件将不予接收、解密。</w:t>
      </w:r>
    </w:p>
    <w:p w14:paraId="59B75CA1">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（2）如果是电子化交易系统问题造成投标文件无法解密的，将由技术人员进行排查处理。如短时间内问题无法解决的，将由采购人（代理机构）联系监督部门申请暂停开标，待问题解决后继续开标。</w:t>
      </w:r>
    </w:p>
    <w:p w14:paraId="674392A4">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5.1.4所有投标文件解密完成后，由采购人（代理机构）操作，对开标结果进行公示。</w:t>
      </w:r>
    </w:p>
    <w:p w14:paraId="4F7B6D9E">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5.1.5投标人应保证在开标期间电话、电脑、网络等能够正常使用，投标人因停电、电脑病毒、网络堵塞等原因，未在规定的解密时间内对投标文件进行解密的，其投标文件不予接收。</w:t>
      </w:r>
    </w:p>
    <w:p w14:paraId="41803E97">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5.1.6解密完成后，投标人可登录到交易系统查看自己的投标报价。如对自己的报价内容有异议的，应在报价内容显示后20分钟内联系采购人（代理机构）进行质疑，投标人未在规定时间内提出质疑的，视为认可开标结果显示内容。</w:t>
      </w:r>
    </w:p>
    <w:p w14:paraId="06D8D932">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说明：上述内容如有与《全国公共资源交易平台(河南省▪平顶山市)》公共资源交易系统不一致的以最新电子化交易程序为准。</w:t>
      </w:r>
    </w:p>
    <w:p w14:paraId="7DFFB78C">
      <w:pPr>
        <w:keepNext/>
        <w:keepLines/>
        <w:pageBreakBefore w:val="0"/>
        <w:widowControl w:val="0"/>
        <w:kinsoku/>
        <w:wordWrap/>
        <w:overflowPunct/>
        <w:topLinePunct w:val="0"/>
        <w:autoSpaceDE/>
        <w:autoSpaceDN/>
        <w:bidi w:val="0"/>
        <w:adjustRightInd/>
        <w:snapToGrid/>
        <w:spacing w:line="412" w:lineRule="auto"/>
        <w:textAlignment w:val="auto"/>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477" w:name="_Toc135648910"/>
      <w:r>
        <w:rPr>
          <w:rFonts w:hint="eastAsia" w:ascii="宋体" w:hAnsi="宋体" w:eastAsia="宋体" w:cs="宋体"/>
          <w:b/>
          <w:bCs/>
          <w:color w:val="000000" w:themeColor="text1"/>
          <w:kern w:val="0"/>
          <w:sz w:val="32"/>
          <w:szCs w:val="32"/>
          <w:highlight w:val="none"/>
          <w14:textFill>
            <w14:solidFill>
              <w14:schemeClr w14:val="tx1"/>
            </w14:solidFill>
          </w14:textFill>
        </w:rPr>
        <w:t>6. 评标</w:t>
      </w:r>
      <w:bookmarkEnd w:id="465"/>
      <w:bookmarkEnd w:id="466"/>
      <w:bookmarkEnd w:id="467"/>
      <w:bookmarkEnd w:id="468"/>
      <w:bookmarkEnd w:id="469"/>
      <w:bookmarkEnd w:id="470"/>
      <w:bookmarkEnd w:id="471"/>
      <w:bookmarkEnd w:id="472"/>
      <w:bookmarkEnd w:id="473"/>
      <w:bookmarkEnd w:id="474"/>
      <w:bookmarkEnd w:id="475"/>
      <w:bookmarkEnd w:id="476"/>
      <w:bookmarkEnd w:id="477"/>
    </w:p>
    <w:p w14:paraId="05732342">
      <w:pPr>
        <w:keepNext/>
        <w:keepLines/>
        <w:pageBreakBefore w:val="0"/>
        <w:widowControl w:val="0"/>
        <w:kinsoku/>
        <w:wordWrap/>
        <w:overflowPunct/>
        <w:topLinePunct w:val="0"/>
        <w:autoSpaceDE/>
        <w:autoSpaceDN/>
        <w:bidi w:val="0"/>
        <w:adjustRightInd/>
        <w:snapToGrid/>
        <w:spacing w:line="376"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478" w:name="_Toc246996950"/>
      <w:bookmarkStart w:id="479" w:name="_Toc179632581"/>
      <w:bookmarkStart w:id="480" w:name="_Toc135922556"/>
      <w:bookmarkStart w:id="481" w:name="_Toc40795898"/>
      <w:bookmarkStart w:id="482" w:name="_Toc415819227"/>
      <w:bookmarkStart w:id="483" w:name="_Toc81321231"/>
      <w:bookmarkStart w:id="484" w:name="_Toc246996207"/>
      <w:bookmarkStart w:id="485" w:name="_Toc144974531"/>
      <w:bookmarkStart w:id="486" w:name="_Toc135648911"/>
      <w:bookmarkStart w:id="487" w:name="_Toc40708394"/>
      <w:bookmarkStart w:id="488" w:name="_Toc40519009"/>
      <w:bookmarkStart w:id="489" w:name="_Toc152045563"/>
      <w:bookmarkStart w:id="490" w:name="_Toc57369417"/>
      <w:bookmarkStart w:id="491" w:name="_Toc13489"/>
      <w:bookmarkStart w:id="492" w:name="_Toc152042339"/>
      <w:bookmarkStart w:id="493" w:name="_Toc417334000"/>
      <w:bookmarkStart w:id="494" w:name="_Toc17879"/>
      <w:bookmarkStart w:id="495" w:name="_Toc4431"/>
      <w:bookmarkStart w:id="496" w:name="_Toc247085721"/>
      <w:r>
        <w:rPr>
          <w:rFonts w:hint="eastAsia" w:ascii="宋体" w:hAnsi="宋体" w:eastAsia="宋体" w:cs="宋体"/>
          <w:b/>
          <w:bCs/>
          <w:color w:val="000000" w:themeColor="text1"/>
          <w:sz w:val="28"/>
          <w:szCs w:val="28"/>
          <w:highlight w:val="none"/>
          <w14:textFill>
            <w14:solidFill>
              <w14:schemeClr w14:val="tx1"/>
            </w14:solidFill>
          </w14:textFill>
        </w:rPr>
        <w:t>6.1 评标委员会</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5E43D7E4">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6.1.1 评标由采购人依法组建的评标委员会负责。评标委员会成员组成、人数以及技术、经济等方面专家的确定方式见投标人须知前附表。</w:t>
      </w:r>
    </w:p>
    <w:p w14:paraId="7EB992D1">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6.1.2 评审专家与参加采购活动的供应商存在下列利害关系之一的,应当回避:</w:t>
      </w:r>
    </w:p>
    <w:p w14:paraId="36EE16D8">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(一)参加采购活动前三年内,与供应商存在劳动关系,或者担任过供应商的董事、监事,或者是供应商的控股股东或实际控制人；</w:t>
      </w:r>
    </w:p>
    <w:p w14:paraId="70E94052">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(二)与供应商的法定代表人或者负责人有夫妻、直系血亲、三代以内旁系血亲或者近姻亲关系；</w:t>
      </w:r>
    </w:p>
    <w:p w14:paraId="1F1BDC4B">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(三)与供应商有其他可能影响政府采购活动公平、公正进行的关系。</w:t>
      </w:r>
    </w:p>
    <w:p w14:paraId="3F758B88">
      <w:pPr>
        <w:spacing w:line="400" w:lineRule="exact"/>
        <w:ind w:right="-1"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评审专家发现本人与参加采购活动的供应商有利害关系的,应当主动提出回避。</w:t>
      </w:r>
    </w:p>
    <w:p w14:paraId="5404EEE9">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497" w:name="_Toc246996208"/>
      <w:bookmarkStart w:id="498" w:name="_Toc31505"/>
      <w:bookmarkStart w:id="499" w:name="_Toc27236"/>
      <w:bookmarkStart w:id="500" w:name="_Toc40519010"/>
      <w:bookmarkStart w:id="501" w:name="_Toc246996951"/>
      <w:bookmarkStart w:id="502" w:name="_Toc40708395"/>
      <w:bookmarkStart w:id="503" w:name="_Toc247085722"/>
      <w:bookmarkStart w:id="504" w:name="_Toc81321232"/>
      <w:bookmarkStart w:id="505" w:name="_Toc415819228"/>
      <w:bookmarkStart w:id="506" w:name="_Toc57369418"/>
      <w:bookmarkStart w:id="507" w:name="_Toc18118"/>
      <w:bookmarkStart w:id="508" w:name="_Toc179632582"/>
      <w:bookmarkStart w:id="509" w:name="_Toc144974532"/>
      <w:bookmarkStart w:id="510" w:name="_Toc417334001"/>
      <w:bookmarkStart w:id="511" w:name="_Toc135648912"/>
      <w:bookmarkStart w:id="512" w:name="_Toc152045564"/>
      <w:bookmarkStart w:id="513" w:name="_Toc135922557"/>
      <w:bookmarkStart w:id="514" w:name="_Toc40795899"/>
      <w:bookmarkStart w:id="515" w:name="_Toc152042340"/>
      <w:r>
        <w:rPr>
          <w:rFonts w:hint="eastAsia" w:ascii="宋体" w:hAnsi="宋体" w:eastAsia="宋体" w:cs="宋体"/>
          <w:b/>
          <w:bCs/>
          <w:color w:val="000000" w:themeColor="text1"/>
          <w:sz w:val="28"/>
          <w:szCs w:val="28"/>
          <w:highlight w:val="none"/>
          <w14:textFill>
            <w14:solidFill>
              <w14:schemeClr w14:val="tx1"/>
            </w14:solidFill>
          </w14:textFill>
        </w:rPr>
        <w:t>6.2 评标原则</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49024336">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评标活动遵循公平、公正、科学和择优的原则。</w:t>
      </w:r>
    </w:p>
    <w:p w14:paraId="0D629EB2">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516" w:name="_Toc417334002"/>
      <w:bookmarkStart w:id="517" w:name="_Toc247085723"/>
      <w:bookmarkStart w:id="518" w:name="_Toc152042341"/>
      <w:bookmarkStart w:id="519" w:name="_Toc135922558"/>
      <w:bookmarkStart w:id="520" w:name="_Toc24347"/>
      <w:bookmarkStart w:id="521" w:name="_Toc57369419"/>
      <w:bookmarkStart w:id="522" w:name="_Toc40519011"/>
      <w:bookmarkStart w:id="523" w:name="_Toc415819229"/>
      <w:bookmarkStart w:id="524" w:name="_Toc40795900"/>
      <w:bookmarkStart w:id="525" w:name="_Toc40708396"/>
      <w:bookmarkStart w:id="526" w:name="_Toc13600"/>
      <w:bookmarkStart w:id="527" w:name="_Toc152045565"/>
      <w:bookmarkStart w:id="528" w:name="_Toc246996209"/>
      <w:bookmarkStart w:id="529" w:name="_Toc135648913"/>
      <w:bookmarkStart w:id="530" w:name="_Toc179632583"/>
      <w:bookmarkStart w:id="531" w:name="_Toc81321233"/>
      <w:bookmarkStart w:id="532" w:name="_Toc27439"/>
      <w:bookmarkStart w:id="533" w:name="_Toc144974533"/>
      <w:bookmarkStart w:id="534" w:name="_Toc246996952"/>
      <w:r>
        <w:rPr>
          <w:rFonts w:hint="eastAsia" w:ascii="宋体" w:hAnsi="宋体" w:eastAsia="宋体" w:cs="宋体"/>
          <w:b/>
          <w:bCs/>
          <w:color w:val="000000" w:themeColor="text1"/>
          <w:sz w:val="28"/>
          <w:szCs w:val="28"/>
          <w:highlight w:val="none"/>
          <w14:textFill>
            <w14:solidFill>
              <w14:schemeClr w14:val="tx1"/>
            </w14:solidFill>
          </w14:textFill>
        </w:rPr>
        <w:t>6.3 评标</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7F11A75D">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评标委员会按照第三章“评标办法”规定的方法、评审因素、标准和程序对投标文件进行评审。第三章“评标办法”没有规定的方法、评审因素和标准，不作为评标依据。</w:t>
      </w:r>
    </w:p>
    <w:p w14:paraId="1D58A90E">
      <w:pPr>
        <w:keepNext/>
        <w:keepLines/>
        <w:spacing w:before="260" w:after="260"/>
        <w:ind w:right="-1"/>
        <w:outlineLvl w:val="2"/>
        <w:rPr>
          <w:rFonts w:hint="eastAsia" w:ascii="宋体" w:hAnsi="宋体" w:eastAsia="宋体" w:cs="宋体"/>
          <w:b/>
          <w:bCs/>
          <w:color w:val="000000" w:themeColor="text1"/>
          <w:sz w:val="28"/>
          <w:szCs w:val="28"/>
          <w:highlight w:val="none"/>
          <w14:textFill>
            <w14:solidFill>
              <w14:schemeClr w14:val="tx1"/>
            </w14:solidFill>
          </w14:textFill>
        </w:rPr>
      </w:pPr>
      <w:bookmarkStart w:id="535" w:name="_Toc152042342"/>
      <w:bookmarkStart w:id="536" w:name="_Toc81321234"/>
      <w:bookmarkStart w:id="537" w:name="_Toc14885"/>
      <w:bookmarkStart w:id="538" w:name="_Toc246996953"/>
      <w:bookmarkStart w:id="539" w:name="_Toc246996210"/>
      <w:bookmarkStart w:id="540" w:name="_Toc152045566"/>
      <w:bookmarkStart w:id="541" w:name="_Toc247085724"/>
      <w:bookmarkStart w:id="542" w:name="_Toc144974534"/>
      <w:bookmarkStart w:id="543" w:name="_Toc57369420"/>
      <w:bookmarkStart w:id="544" w:name="_Toc19301"/>
      <w:bookmarkStart w:id="545" w:name="_Toc179632584"/>
      <w:bookmarkStart w:id="546" w:name="_Toc18639"/>
      <w:bookmarkStart w:id="547" w:name="_Toc135648914"/>
      <w:r>
        <w:rPr>
          <w:rFonts w:hint="eastAsia" w:ascii="宋体" w:hAnsi="宋体" w:eastAsia="宋体" w:cs="宋体"/>
          <w:b/>
          <w:bCs/>
          <w:color w:val="000000" w:themeColor="text1"/>
          <w:sz w:val="28"/>
          <w:szCs w:val="28"/>
          <w:highlight w:val="none"/>
          <w14:textFill>
            <w14:solidFill>
              <w14:schemeClr w14:val="tx1"/>
            </w14:solidFill>
          </w14:textFill>
        </w:rPr>
        <w:t>7. 合同授予</w:t>
      </w:r>
      <w:bookmarkEnd w:id="535"/>
      <w:bookmarkEnd w:id="536"/>
      <w:bookmarkEnd w:id="537"/>
      <w:bookmarkEnd w:id="538"/>
      <w:bookmarkEnd w:id="539"/>
      <w:bookmarkEnd w:id="540"/>
      <w:bookmarkEnd w:id="541"/>
      <w:bookmarkEnd w:id="542"/>
      <w:bookmarkEnd w:id="543"/>
      <w:bookmarkEnd w:id="544"/>
      <w:bookmarkEnd w:id="545"/>
      <w:bookmarkEnd w:id="546"/>
      <w:bookmarkEnd w:id="547"/>
    </w:p>
    <w:p w14:paraId="15DFC5C2">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548" w:name="_Toc247085725"/>
      <w:bookmarkStart w:id="549" w:name="_Toc179632585"/>
      <w:bookmarkStart w:id="550" w:name="_Toc14636"/>
      <w:bookmarkStart w:id="551" w:name="_Toc246996954"/>
      <w:bookmarkStart w:id="552" w:name="_Toc152042343"/>
      <w:bookmarkStart w:id="553" w:name="_Toc144974535"/>
      <w:bookmarkStart w:id="554" w:name="_Toc246996211"/>
      <w:bookmarkStart w:id="555" w:name="_Toc135922559"/>
      <w:bookmarkStart w:id="556" w:name="_Toc40519013"/>
      <w:bookmarkStart w:id="557" w:name="_Toc22605"/>
      <w:bookmarkStart w:id="558" w:name="_Toc40795902"/>
      <w:bookmarkStart w:id="559" w:name="_Toc135648915"/>
      <w:bookmarkStart w:id="560" w:name="_Toc57369421"/>
      <w:bookmarkStart w:id="561" w:name="_Toc1518"/>
      <w:bookmarkStart w:id="562" w:name="_Toc40708398"/>
      <w:bookmarkStart w:id="563" w:name="_Toc415819231"/>
      <w:bookmarkStart w:id="564" w:name="_Toc152045567"/>
      <w:bookmarkStart w:id="565" w:name="_Toc417334004"/>
      <w:bookmarkStart w:id="566" w:name="_Toc81321235"/>
      <w:r>
        <w:rPr>
          <w:rFonts w:hint="eastAsia" w:ascii="宋体" w:hAnsi="宋体" w:eastAsia="宋体" w:cs="宋体"/>
          <w:b/>
          <w:bCs/>
          <w:color w:val="000000" w:themeColor="text1"/>
          <w:sz w:val="28"/>
          <w:szCs w:val="28"/>
          <w:highlight w:val="none"/>
          <w14:textFill>
            <w14:solidFill>
              <w14:schemeClr w14:val="tx1"/>
            </w14:solidFill>
          </w14:textFill>
        </w:rPr>
        <w:t>7.1 定标方式</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6B96C3B9">
      <w:pPr>
        <w:spacing w:line="400" w:lineRule="exact"/>
        <w:ind w:right="-1" w:firstLine="424" w:firstLineChars="202"/>
        <w:rPr>
          <w:rFonts w:hint="eastAsia" w:ascii="宋体" w:hAnsi="宋体" w:eastAsia="宋体" w:cs="宋体"/>
          <w:color w:val="000000" w:themeColor="text1"/>
          <w:szCs w:val="24"/>
          <w:highlight w:val="none"/>
          <w14:textFill>
            <w14:solidFill>
              <w14:schemeClr w14:val="tx1"/>
            </w14:solidFill>
          </w14:textFill>
        </w:rPr>
      </w:pPr>
      <w:bookmarkStart w:id="567" w:name="_Toc25102"/>
      <w:bookmarkStart w:id="568" w:name="_Toc415819232"/>
      <w:bookmarkStart w:id="569" w:name="_Toc22000"/>
      <w:bookmarkStart w:id="570" w:name="_Toc417334005"/>
      <w:bookmarkStart w:id="571" w:name="_Toc29879"/>
      <w:bookmarkStart w:id="572" w:name="_Toc81321236"/>
      <w:bookmarkStart w:id="573" w:name="_Toc40795903"/>
      <w:bookmarkStart w:id="574" w:name="_Toc57369422"/>
      <w:bookmarkStart w:id="575" w:name="_Toc40519014"/>
      <w:bookmarkStart w:id="576" w:name="_Toc40708399"/>
      <w:r>
        <w:rPr>
          <w:rFonts w:hint="eastAsia" w:ascii="宋体" w:hAnsi="宋体" w:eastAsia="宋体" w:cs="宋体"/>
          <w:color w:val="000000" w:themeColor="text1"/>
          <w:szCs w:val="24"/>
          <w:highlight w:val="none"/>
          <w14:textFill>
            <w14:solidFill>
              <w14:schemeClr w14:val="tx1"/>
            </w14:solidFill>
          </w14:textFill>
        </w:rPr>
        <w:t>采购人应当在评审结束后1日内，在评标报告确定的中标候选人名单中按顺序确定中标人。中标候选人并列的，由采购人采取随机抽取的方式确定。采购人在收到评标报告后未在规定时间内按评标报告推荐的中标候选人顺序确定中标人，又不能说明合法理由的，视同按评标报告推荐的顺序确定排名第一的中标候选人为中标人。</w:t>
      </w:r>
    </w:p>
    <w:p w14:paraId="3837A9BE">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577" w:name="_Toc135922560"/>
      <w:bookmarkStart w:id="578" w:name="_Toc135648916"/>
      <w:r>
        <w:rPr>
          <w:rFonts w:hint="eastAsia" w:ascii="宋体" w:hAnsi="宋体" w:eastAsia="宋体" w:cs="宋体"/>
          <w:b/>
          <w:bCs/>
          <w:color w:val="000000" w:themeColor="text1"/>
          <w:sz w:val="28"/>
          <w:szCs w:val="28"/>
          <w:highlight w:val="none"/>
          <w14:textFill>
            <w14:solidFill>
              <w14:schemeClr w14:val="tx1"/>
            </w14:solidFill>
          </w14:textFill>
        </w:rPr>
        <w:t>7.2 中标</w:t>
      </w:r>
      <w:bookmarkEnd w:id="567"/>
      <w:bookmarkEnd w:id="568"/>
      <w:bookmarkEnd w:id="569"/>
      <w:bookmarkEnd w:id="570"/>
      <w:bookmarkEnd w:id="571"/>
      <w:r>
        <w:rPr>
          <w:rFonts w:hint="eastAsia" w:ascii="宋体" w:hAnsi="宋体" w:eastAsia="宋体" w:cs="宋体"/>
          <w:b/>
          <w:bCs/>
          <w:color w:val="000000" w:themeColor="text1"/>
          <w:sz w:val="28"/>
          <w:szCs w:val="28"/>
          <w:highlight w:val="none"/>
          <w14:textFill>
            <w14:solidFill>
              <w14:schemeClr w14:val="tx1"/>
            </w14:solidFill>
          </w14:textFill>
        </w:rPr>
        <w:t>公告</w:t>
      </w:r>
      <w:bookmarkEnd w:id="572"/>
      <w:bookmarkEnd w:id="573"/>
      <w:bookmarkEnd w:id="574"/>
      <w:bookmarkEnd w:id="575"/>
      <w:bookmarkEnd w:id="576"/>
      <w:bookmarkEnd w:id="577"/>
      <w:bookmarkEnd w:id="578"/>
    </w:p>
    <w:p w14:paraId="7F70D837">
      <w:pPr>
        <w:spacing w:line="400" w:lineRule="exact"/>
        <w:ind w:right="-1" w:firstLine="424" w:firstLineChars="202"/>
        <w:rPr>
          <w:rFonts w:hint="eastAsia" w:ascii="宋体" w:hAnsi="宋体" w:eastAsia="宋体" w:cs="宋体"/>
          <w:color w:val="000000" w:themeColor="text1"/>
          <w:szCs w:val="24"/>
          <w:highlight w:val="none"/>
          <w14:textFill>
            <w14:solidFill>
              <w14:schemeClr w14:val="tx1"/>
            </w14:solidFill>
          </w14:textFill>
        </w:rPr>
      </w:pPr>
      <w:bookmarkStart w:id="579" w:name="_Toc415819233"/>
      <w:bookmarkStart w:id="580" w:name="_Toc30839"/>
      <w:bookmarkStart w:id="581" w:name="_Toc247085726"/>
      <w:bookmarkStart w:id="582" w:name="_Toc417334006"/>
      <w:bookmarkStart w:id="583" w:name="_Toc144974536"/>
      <w:bookmarkStart w:id="584" w:name="_Toc152045568"/>
      <w:bookmarkStart w:id="585" w:name="_Toc18909"/>
      <w:bookmarkStart w:id="586" w:name="_Toc25313"/>
      <w:bookmarkStart w:id="587" w:name="_Toc179632586"/>
      <w:bookmarkStart w:id="588" w:name="_Toc152042344"/>
      <w:bookmarkStart w:id="589" w:name="_Toc246996955"/>
      <w:bookmarkStart w:id="590" w:name="_Toc246996212"/>
      <w:bookmarkStart w:id="591" w:name="_Toc40795904"/>
      <w:bookmarkStart w:id="592" w:name="_Toc57369423"/>
      <w:bookmarkStart w:id="593" w:name="_Toc40708400"/>
      <w:bookmarkStart w:id="594" w:name="_Toc81321237"/>
      <w:bookmarkStart w:id="595" w:name="_Toc40519015"/>
      <w:r>
        <w:rPr>
          <w:rFonts w:hint="eastAsia" w:ascii="宋体" w:hAnsi="宋体" w:eastAsia="宋体" w:cs="宋体"/>
          <w:color w:val="000000" w:themeColor="text1"/>
          <w:szCs w:val="24"/>
          <w:highlight w:val="none"/>
          <w14:textFill>
            <w14:solidFill>
              <w14:schemeClr w14:val="tx1"/>
            </w14:solidFill>
          </w14:textFill>
        </w:rPr>
        <w:t>采购人应当在中标人确定当日，在指定的媒体公告中标结果。</w:t>
      </w:r>
    </w:p>
    <w:p w14:paraId="7CBEE3F3">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596" w:name="_Toc135648917"/>
      <w:bookmarkStart w:id="597" w:name="_Toc135922561"/>
      <w:r>
        <w:rPr>
          <w:rFonts w:hint="eastAsia" w:ascii="宋体" w:hAnsi="宋体" w:eastAsia="宋体" w:cs="宋体"/>
          <w:b/>
          <w:bCs/>
          <w:color w:val="000000" w:themeColor="text1"/>
          <w:sz w:val="28"/>
          <w:szCs w:val="28"/>
          <w:highlight w:val="none"/>
          <w14:textFill>
            <w14:solidFill>
              <w14:schemeClr w14:val="tx1"/>
            </w14:solidFill>
          </w14:textFill>
        </w:rPr>
        <w:t>7.3 中标通知</w:t>
      </w:r>
      <w:bookmarkEnd w:id="579"/>
      <w:bookmarkEnd w:id="580"/>
      <w:bookmarkEnd w:id="581"/>
      <w:bookmarkEnd w:id="582"/>
      <w:bookmarkEnd w:id="583"/>
      <w:bookmarkEnd w:id="584"/>
      <w:bookmarkEnd w:id="585"/>
      <w:bookmarkEnd w:id="586"/>
      <w:bookmarkEnd w:id="587"/>
      <w:bookmarkEnd w:id="588"/>
      <w:bookmarkEnd w:id="589"/>
      <w:bookmarkEnd w:id="590"/>
      <w:r>
        <w:rPr>
          <w:rFonts w:hint="eastAsia" w:ascii="宋体" w:hAnsi="宋体" w:eastAsia="宋体" w:cs="宋体"/>
          <w:b/>
          <w:bCs/>
          <w:color w:val="000000" w:themeColor="text1"/>
          <w:sz w:val="28"/>
          <w:szCs w:val="28"/>
          <w:highlight w:val="none"/>
          <w14:textFill>
            <w14:solidFill>
              <w14:schemeClr w14:val="tx1"/>
            </w14:solidFill>
          </w14:textFill>
        </w:rPr>
        <w:t>书</w:t>
      </w:r>
      <w:bookmarkEnd w:id="591"/>
      <w:bookmarkEnd w:id="592"/>
      <w:bookmarkEnd w:id="593"/>
      <w:bookmarkEnd w:id="594"/>
      <w:bookmarkEnd w:id="595"/>
      <w:bookmarkEnd w:id="596"/>
      <w:bookmarkEnd w:id="597"/>
    </w:p>
    <w:p w14:paraId="00B39277">
      <w:pPr>
        <w:spacing w:line="400" w:lineRule="exact"/>
        <w:ind w:right="-1" w:firstLine="424" w:firstLineChars="202"/>
        <w:rPr>
          <w:rFonts w:hint="eastAsia" w:ascii="宋体" w:hAnsi="宋体" w:eastAsia="宋体" w:cs="宋体"/>
          <w:color w:val="000000" w:themeColor="text1"/>
          <w:highlight w:val="none"/>
          <w14:textFill>
            <w14:solidFill>
              <w14:schemeClr w14:val="tx1"/>
            </w14:solidFill>
          </w14:textFill>
        </w:rPr>
      </w:pPr>
      <w:bookmarkStart w:id="598" w:name="_Toc246996957"/>
      <w:bookmarkStart w:id="599" w:name="_Toc179632588"/>
      <w:bookmarkStart w:id="600" w:name="_Toc30518"/>
      <w:bookmarkStart w:id="601" w:name="_Toc152042346"/>
      <w:bookmarkStart w:id="602" w:name="_Toc15555"/>
      <w:bookmarkStart w:id="603" w:name="_Toc144974538"/>
      <w:bookmarkStart w:id="604" w:name="_Toc81321238"/>
      <w:bookmarkStart w:id="605" w:name="_Toc415819235"/>
      <w:bookmarkStart w:id="606" w:name="_Toc40708401"/>
      <w:bookmarkStart w:id="607" w:name="_Toc152045570"/>
      <w:bookmarkStart w:id="608" w:name="_Toc40519016"/>
      <w:bookmarkStart w:id="609" w:name="_Toc246996214"/>
      <w:bookmarkStart w:id="610" w:name="_Toc57369424"/>
      <w:bookmarkStart w:id="611" w:name="_Toc15810"/>
      <w:bookmarkStart w:id="612" w:name="_Toc247085728"/>
      <w:bookmarkStart w:id="613" w:name="_Toc40795905"/>
      <w:bookmarkStart w:id="614" w:name="_Toc417334008"/>
      <w:r>
        <w:rPr>
          <w:rFonts w:hint="eastAsia" w:ascii="宋体" w:hAnsi="宋体" w:eastAsia="宋体" w:cs="宋体"/>
          <w:color w:val="000000" w:themeColor="text1"/>
          <w:highlight w:val="none"/>
          <w14:textFill>
            <w14:solidFill>
              <w14:schemeClr w14:val="tx1"/>
            </w14:solidFill>
          </w14:textFill>
        </w:rPr>
        <w:t>在公告中标结果的同时，采购人或者采购代理机构应当向中标人发出中标通知书。中标通知书发出后，采购人不得违法改变中标结果，中标人无正当理由不得放弃中标。</w:t>
      </w:r>
    </w:p>
    <w:p w14:paraId="55DD9E91">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615" w:name="_Toc135922562"/>
      <w:bookmarkStart w:id="616" w:name="_Toc135648918"/>
      <w:r>
        <w:rPr>
          <w:rFonts w:hint="eastAsia" w:ascii="宋体" w:hAnsi="宋体" w:eastAsia="宋体" w:cs="宋体"/>
          <w:b/>
          <w:bCs/>
          <w:color w:val="000000" w:themeColor="text1"/>
          <w:sz w:val="28"/>
          <w:szCs w:val="28"/>
          <w:highlight w:val="none"/>
          <w14:textFill>
            <w14:solidFill>
              <w14:schemeClr w14:val="tx1"/>
            </w14:solidFill>
          </w14:textFill>
        </w:rPr>
        <w:t>7.4 签订合同</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166C03D9">
      <w:pPr>
        <w:spacing w:line="400" w:lineRule="exact"/>
        <w:ind w:right="-1" w:firstLine="420" w:firstLineChars="200"/>
        <w:rPr>
          <w:rFonts w:hint="eastAsia" w:ascii="宋体" w:hAnsi="宋体" w:eastAsia="宋体" w:cs="宋体"/>
          <w:color w:val="000000" w:themeColor="text1"/>
          <w:szCs w:val="21"/>
          <w:highlight w:val="none"/>
          <w14:textFill>
            <w14:solidFill>
              <w14:schemeClr w14:val="tx1"/>
            </w14:solidFill>
          </w14:textFill>
        </w:rPr>
      </w:pPr>
      <w:bookmarkStart w:id="617" w:name="_Toc81321239"/>
      <w:bookmarkStart w:id="618" w:name="_Toc6019"/>
      <w:bookmarkStart w:id="619" w:name="_Toc853"/>
      <w:bookmarkStart w:id="620" w:name="_Toc57369425"/>
      <w:bookmarkStart w:id="621" w:name="_Toc4910"/>
      <w:r>
        <w:rPr>
          <w:rFonts w:hint="eastAsia" w:ascii="宋体" w:hAnsi="宋体" w:eastAsia="宋体" w:cs="宋体"/>
          <w:color w:val="000000" w:themeColor="text1"/>
          <w:szCs w:val="21"/>
          <w:highlight w:val="none"/>
          <w14:textFill>
            <w14:solidFill>
              <w14:schemeClr w14:val="tx1"/>
            </w14:solidFill>
          </w14:textFill>
        </w:rPr>
        <w:t>7.4.1采购人应当自中标通知书发出之日后</w:t>
      </w:r>
      <w:r>
        <w:rPr>
          <w:rFonts w:hint="eastAsia" w:ascii="宋体" w:hAnsi="宋体" w:eastAsia="宋体" w:cs="宋体"/>
          <w:color w:val="000000" w:themeColor="text1"/>
          <w:szCs w:val="21"/>
          <w:highlight w:val="none"/>
          <w:lang w:val="en-US" w:eastAsia="zh-CN"/>
          <w14:textFill>
            <w14:solidFill>
              <w14:schemeClr w14:val="tx1"/>
            </w14:solidFill>
          </w14:textFill>
        </w:rPr>
        <w:t>30</w:t>
      </w:r>
      <w:r>
        <w:rPr>
          <w:rFonts w:hint="eastAsia" w:ascii="宋体" w:hAnsi="宋体" w:eastAsia="宋体" w:cs="宋体"/>
          <w:color w:val="000000" w:themeColor="text1"/>
          <w:szCs w:val="21"/>
          <w:highlight w:val="none"/>
          <w14:textFill>
            <w14:solidFill>
              <w14:schemeClr w14:val="tx1"/>
            </w14:solidFill>
          </w14:textFill>
        </w:rPr>
        <w:t>日内，按照招标文件和中标人投标文件的规定，与中标人签订书面合同。所签订的合同不得对招标文件确定的事项和中标人投标文件作实质性修改。合同签订当日在政府采购监督管理部门完成合同备案及公告工作。</w:t>
      </w:r>
    </w:p>
    <w:p w14:paraId="1D7E7FF4">
      <w:pPr>
        <w:spacing w:line="400" w:lineRule="exact"/>
        <w:ind w:right="-1" w:firstLine="424" w:firstLineChars="20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7.4.2</w:t>
      </w:r>
      <w:r>
        <w:rPr>
          <w:rFonts w:hint="eastAsia" w:ascii="宋体" w:hAnsi="宋体" w:eastAsia="宋体" w:cs="宋体"/>
          <w:color w:val="000000" w:themeColor="text1"/>
          <w:szCs w:val="21"/>
          <w:highlight w:val="none"/>
          <w14:textFill>
            <w14:solidFill>
              <w14:schemeClr w14:val="tx1"/>
            </w14:solidFill>
          </w14:textFill>
        </w:rPr>
        <w:t>中标或者成交供应商拒绝与采购人签订合同的，采购人可以按照评审报告推荐的中标或者成交候选人名单排序，确定下一候选人为中标或者成交供应商，也可以重新开展政府采购活动。</w:t>
      </w:r>
    </w:p>
    <w:p w14:paraId="70BEF1E3">
      <w:pPr>
        <w:keepNext/>
        <w:keepLines/>
        <w:pageBreakBefore w:val="0"/>
        <w:widowControl w:val="0"/>
        <w:kinsoku/>
        <w:wordWrap/>
        <w:overflowPunct/>
        <w:topLinePunct w:val="0"/>
        <w:autoSpaceDE/>
        <w:autoSpaceDN/>
        <w:bidi w:val="0"/>
        <w:adjustRightInd/>
        <w:snapToGrid/>
        <w:ind w:right="-1"/>
        <w:textAlignment w:val="auto"/>
        <w:outlineLvl w:val="2"/>
        <w:rPr>
          <w:rFonts w:hint="eastAsia" w:ascii="宋体" w:hAnsi="宋体" w:eastAsia="宋体" w:cs="宋体"/>
          <w:b/>
          <w:bCs/>
          <w:color w:val="000000" w:themeColor="text1"/>
          <w:sz w:val="28"/>
          <w:szCs w:val="28"/>
          <w:highlight w:val="none"/>
          <w14:textFill>
            <w14:solidFill>
              <w14:schemeClr w14:val="tx1"/>
            </w14:solidFill>
          </w14:textFill>
        </w:rPr>
      </w:pPr>
      <w:bookmarkStart w:id="622" w:name="_Toc135648919"/>
      <w:r>
        <w:rPr>
          <w:rFonts w:hint="eastAsia" w:ascii="宋体" w:hAnsi="宋体" w:eastAsia="宋体" w:cs="宋体"/>
          <w:b/>
          <w:bCs/>
          <w:color w:val="000000" w:themeColor="text1"/>
          <w:sz w:val="28"/>
          <w:szCs w:val="28"/>
          <w:highlight w:val="none"/>
          <w14:textFill>
            <w14:solidFill>
              <w14:schemeClr w14:val="tx1"/>
            </w14:solidFill>
          </w14:textFill>
        </w:rPr>
        <w:t>8. 纪律和监督</w:t>
      </w:r>
      <w:bookmarkEnd w:id="617"/>
      <w:bookmarkEnd w:id="618"/>
      <w:bookmarkEnd w:id="619"/>
      <w:bookmarkEnd w:id="620"/>
      <w:bookmarkEnd w:id="621"/>
      <w:bookmarkEnd w:id="622"/>
    </w:p>
    <w:p w14:paraId="433C4A33">
      <w:pPr>
        <w:keepNext/>
        <w:keepLines/>
        <w:pageBreakBefore w:val="0"/>
        <w:widowControl w:val="0"/>
        <w:kinsoku/>
        <w:wordWrap/>
        <w:overflowPunct/>
        <w:topLinePunct w:val="0"/>
        <w:autoSpaceDE/>
        <w:autoSpaceDN/>
        <w:bidi w:val="0"/>
        <w:adjustRightInd/>
        <w:snapToGrid/>
        <w:spacing w:line="376"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623" w:name="_Toc81321240"/>
      <w:bookmarkStart w:id="624" w:name="_Toc20104"/>
      <w:bookmarkStart w:id="625" w:name="_Toc247085733"/>
      <w:bookmarkStart w:id="626" w:name="_Toc135922563"/>
      <w:bookmarkStart w:id="627" w:name="_Toc22175"/>
      <w:bookmarkStart w:id="628" w:name="_Toc144974543"/>
      <w:bookmarkStart w:id="629" w:name="_Toc6133"/>
      <w:bookmarkStart w:id="630" w:name="_Toc57369426"/>
      <w:bookmarkStart w:id="631" w:name="_Toc40519018"/>
      <w:bookmarkStart w:id="632" w:name="_Toc135648920"/>
      <w:bookmarkStart w:id="633" w:name="_Toc296590983"/>
      <w:bookmarkStart w:id="634" w:name="_Toc417334010"/>
      <w:bookmarkStart w:id="635" w:name="_Toc179632593"/>
      <w:bookmarkStart w:id="636" w:name="_Toc40795907"/>
      <w:bookmarkStart w:id="637" w:name="_Toc152042351"/>
      <w:bookmarkStart w:id="638" w:name="_Toc152045575"/>
      <w:bookmarkStart w:id="639" w:name="_Toc40708403"/>
      <w:bookmarkStart w:id="640" w:name="_Toc246996219"/>
      <w:bookmarkStart w:id="641" w:name="_Toc246996962"/>
      <w:bookmarkStart w:id="642" w:name="_Toc415819237"/>
      <w:r>
        <w:rPr>
          <w:rFonts w:hint="eastAsia" w:ascii="宋体" w:hAnsi="宋体" w:eastAsia="宋体" w:cs="宋体"/>
          <w:b/>
          <w:bCs/>
          <w:color w:val="000000" w:themeColor="text1"/>
          <w:sz w:val="28"/>
          <w:szCs w:val="28"/>
          <w:highlight w:val="none"/>
          <w14:textFill>
            <w14:solidFill>
              <w14:schemeClr w14:val="tx1"/>
            </w14:solidFill>
          </w14:textFill>
        </w:rPr>
        <w:t>8.1 对采购人的纪律要求</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14:paraId="69A8F513">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采购人不得泄漏招标投标活动中应当保密的情况和资料，不得与投标人串通损害国家利益、社会公共利益或者他人合法权益。</w:t>
      </w:r>
    </w:p>
    <w:p w14:paraId="2C04D154">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643" w:name="_Toc29979"/>
      <w:bookmarkStart w:id="644" w:name="_Toc179632594"/>
      <w:bookmarkStart w:id="645" w:name="_Toc40795908"/>
      <w:bookmarkStart w:id="646" w:name="_Toc57369427"/>
      <w:bookmarkStart w:id="647" w:name="_Toc40519019"/>
      <w:bookmarkStart w:id="648" w:name="_Toc144974544"/>
      <w:bookmarkStart w:id="649" w:name="_Toc246996220"/>
      <w:bookmarkStart w:id="650" w:name="_Toc135922564"/>
      <w:bookmarkStart w:id="651" w:name="_Toc12604"/>
      <w:bookmarkStart w:id="652" w:name="_Toc3374"/>
      <w:bookmarkStart w:id="653" w:name="_Toc247085734"/>
      <w:bookmarkStart w:id="654" w:name="_Toc246996963"/>
      <w:bookmarkStart w:id="655" w:name="_Toc152042352"/>
      <w:bookmarkStart w:id="656" w:name="_Toc415819238"/>
      <w:bookmarkStart w:id="657" w:name="_Toc152045576"/>
      <w:bookmarkStart w:id="658" w:name="_Toc135648921"/>
      <w:bookmarkStart w:id="659" w:name="_Toc417334011"/>
      <w:bookmarkStart w:id="660" w:name="_Toc81321241"/>
      <w:bookmarkStart w:id="661" w:name="_Toc40708404"/>
      <w:r>
        <w:rPr>
          <w:rFonts w:hint="eastAsia" w:ascii="宋体" w:hAnsi="宋体" w:eastAsia="宋体" w:cs="宋体"/>
          <w:b/>
          <w:bCs/>
          <w:color w:val="000000" w:themeColor="text1"/>
          <w:sz w:val="28"/>
          <w:szCs w:val="28"/>
          <w:highlight w:val="none"/>
          <w14:textFill>
            <w14:solidFill>
              <w14:schemeClr w14:val="tx1"/>
            </w14:solidFill>
          </w14:textFill>
        </w:rPr>
        <w:t>8.2 对投标人的纪律要求</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14:paraId="1D1E86D3">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30DC8DFF">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662" w:name="_Toc152042353"/>
      <w:bookmarkStart w:id="663" w:name="_Toc417334012"/>
      <w:bookmarkStart w:id="664" w:name="_Toc247085735"/>
      <w:bookmarkStart w:id="665" w:name="_Toc81321242"/>
      <w:bookmarkStart w:id="666" w:name="_Toc31279"/>
      <w:bookmarkStart w:id="667" w:name="_Toc135922565"/>
      <w:bookmarkStart w:id="668" w:name="_Toc40795909"/>
      <w:bookmarkStart w:id="669" w:name="_Toc21000"/>
      <w:bookmarkStart w:id="670" w:name="_Toc152045577"/>
      <w:bookmarkStart w:id="671" w:name="_Toc246996221"/>
      <w:bookmarkStart w:id="672" w:name="_Toc179632595"/>
      <w:bookmarkStart w:id="673" w:name="_Toc246996964"/>
      <w:bookmarkStart w:id="674" w:name="_Toc40519020"/>
      <w:bookmarkStart w:id="675" w:name="_Toc2657"/>
      <w:bookmarkStart w:id="676" w:name="_Toc135648922"/>
      <w:bookmarkStart w:id="677" w:name="_Toc144974545"/>
      <w:bookmarkStart w:id="678" w:name="_Toc415819239"/>
      <w:bookmarkStart w:id="679" w:name="_Toc57369428"/>
      <w:bookmarkStart w:id="680" w:name="_Toc40708405"/>
      <w:r>
        <w:rPr>
          <w:rFonts w:hint="eastAsia" w:ascii="宋体" w:hAnsi="宋体" w:eastAsia="宋体" w:cs="宋体"/>
          <w:b/>
          <w:bCs/>
          <w:color w:val="000000" w:themeColor="text1"/>
          <w:sz w:val="28"/>
          <w:szCs w:val="28"/>
          <w:highlight w:val="none"/>
          <w14:textFill>
            <w14:solidFill>
              <w14:schemeClr w14:val="tx1"/>
            </w14:solidFill>
          </w14:textFill>
        </w:rPr>
        <w:t>8.3 对评标委员会成员的纪律要求</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14:paraId="103F3370">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46275730">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681" w:name="_Toc40795910"/>
      <w:bookmarkStart w:id="682" w:name="_Toc57369429"/>
      <w:bookmarkStart w:id="683" w:name="_Toc179632596"/>
      <w:bookmarkStart w:id="684" w:name="_Toc40519021"/>
      <w:bookmarkStart w:id="685" w:name="_Toc20662"/>
      <w:bookmarkStart w:id="686" w:name="_Toc14459"/>
      <w:bookmarkStart w:id="687" w:name="_Toc81321243"/>
      <w:bookmarkStart w:id="688" w:name="_Toc246996222"/>
      <w:bookmarkStart w:id="689" w:name="_Toc40708406"/>
      <w:bookmarkStart w:id="690" w:name="_Toc152042354"/>
      <w:bookmarkStart w:id="691" w:name="_Toc247085736"/>
      <w:bookmarkStart w:id="692" w:name="_Toc152045578"/>
      <w:bookmarkStart w:id="693" w:name="_Toc417334013"/>
      <w:bookmarkStart w:id="694" w:name="_Toc135648923"/>
      <w:bookmarkStart w:id="695" w:name="_Toc135922566"/>
      <w:bookmarkStart w:id="696" w:name="_Toc246996965"/>
      <w:bookmarkStart w:id="697" w:name="_Toc415819240"/>
      <w:bookmarkStart w:id="698" w:name="_Toc15705"/>
      <w:bookmarkStart w:id="699" w:name="_Toc144974546"/>
      <w:r>
        <w:rPr>
          <w:rFonts w:hint="eastAsia" w:ascii="宋体" w:hAnsi="宋体" w:eastAsia="宋体" w:cs="宋体"/>
          <w:b/>
          <w:bCs/>
          <w:color w:val="000000" w:themeColor="text1"/>
          <w:sz w:val="28"/>
          <w:szCs w:val="28"/>
          <w:highlight w:val="none"/>
          <w14:textFill>
            <w14:solidFill>
              <w14:schemeClr w14:val="tx1"/>
            </w14:solidFill>
          </w14:textFill>
        </w:rPr>
        <w:t>8.4 对与评标活动有关的工作人员的纪律要求</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p w14:paraId="2AEBFF05">
      <w:pPr>
        <w:spacing w:line="400" w:lineRule="exact"/>
        <w:ind w:right="-1" w:firstLine="420" w:firstLineChars="200"/>
        <w:rPr>
          <w:rFonts w:hint="eastAsia" w:ascii="宋体" w:hAnsi="宋体" w:eastAsia="宋体" w:cs="宋体"/>
          <w:color w:val="000000" w:themeColor="text1"/>
          <w:szCs w:val="24"/>
          <w:highlight w:val="none"/>
          <w14:textFill>
            <w14:solidFill>
              <w14:schemeClr w14:val="tx1"/>
            </w14:solidFill>
          </w14:textFill>
        </w:rPr>
      </w:pPr>
      <w:bookmarkStart w:id="700" w:name="_Toc152042355"/>
      <w:r>
        <w:rPr>
          <w:rFonts w:hint="eastAsia" w:ascii="宋体" w:hAnsi="宋体" w:eastAsia="宋体" w:cs="宋体"/>
          <w:color w:val="000000" w:themeColor="text1"/>
          <w:szCs w:val="24"/>
          <w:highlight w:val="none"/>
          <w14:textFill>
            <w14:solidFill>
              <w14:schemeClr w14:val="tx1"/>
            </w14:solidFill>
          </w14:textFill>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699"/>
      <w:bookmarkEnd w:id="700"/>
    </w:p>
    <w:p w14:paraId="5E6698AA">
      <w:pPr>
        <w:keepNext/>
        <w:keepLines/>
        <w:pageBreakBefore w:val="0"/>
        <w:widowControl w:val="0"/>
        <w:kinsoku/>
        <w:wordWrap/>
        <w:overflowPunct/>
        <w:topLinePunct w:val="0"/>
        <w:autoSpaceDE/>
        <w:autoSpaceDN/>
        <w:bidi w:val="0"/>
        <w:adjustRightInd/>
        <w:snapToGrid/>
        <w:spacing w:line="377" w:lineRule="auto"/>
        <w:textAlignment w:val="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701" w:name="_Toc179632598"/>
      <w:bookmarkStart w:id="702" w:name="_Toc152042357"/>
      <w:bookmarkStart w:id="703" w:name="_Toc246996224"/>
      <w:bookmarkStart w:id="704" w:name="_Toc14266"/>
      <w:bookmarkStart w:id="705" w:name="_Toc57369431"/>
      <w:bookmarkStart w:id="706" w:name="_Toc415819242"/>
      <w:bookmarkStart w:id="707" w:name="_Toc246996967"/>
      <w:bookmarkStart w:id="708" w:name="_Toc4569"/>
      <w:bookmarkStart w:id="709" w:name="_Toc247085738"/>
      <w:bookmarkStart w:id="710" w:name="_Toc14267"/>
      <w:bookmarkStart w:id="711" w:name="_Toc152045580"/>
      <w:bookmarkStart w:id="712" w:name="_Toc135648924"/>
      <w:bookmarkStart w:id="713" w:name="_Toc144974547"/>
      <w:bookmarkStart w:id="714" w:name="_Toc81321245"/>
      <w:r>
        <w:rPr>
          <w:rFonts w:hint="eastAsia" w:ascii="宋体" w:hAnsi="宋体" w:eastAsia="宋体" w:cs="宋体"/>
          <w:b/>
          <w:bCs/>
          <w:color w:val="000000" w:themeColor="text1"/>
          <w:sz w:val="28"/>
          <w:szCs w:val="28"/>
          <w:highlight w:val="none"/>
          <w14:textFill>
            <w14:solidFill>
              <w14:schemeClr w14:val="tx1"/>
            </w14:solidFill>
          </w14:textFill>
        </w:rPr>
        <w:t>9. 需要补充的其他内容</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12BA7130">
      <w:pPr>
        <w:spacing w:line="400" w:lineRule="exact"/>
        <w:ind w:right="-1"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需要补充的其他内容：见投标人须知前附表。</w:t>
      </w:r>
    </w:p>
    <w:p w14:paraId="213BDCF0">
      <w:pPr>
        <w:pStyle w:val="3"/>
        <w:bidi w:val="0"/>
        <w:rPr>
          <w:rFonts w:hint="eastAsia" w:ascii="宋体" w:hAnsi="宋体" w:eastAsia="宋体" w:cs="宋体"/>
          <w:b/>
          <w:bCs/>
          <w:color w:val="000000" w:themeColor="text1"/>
          <w:szCs w:val="44"/>
          <w:highlight w:val="none"/>
          <w14:textFill>
            <w14:solidFill>
              <w14:schemeClr w14:val="tx1"/>
            </w14:solidFill>
          </w14:textFill>
        </w:rPr>
      </w:pPr>
      <w:bookmarkStart w:id="715" w:name="_Toc134619336"/>
      <w:bookmarkStart w:id="716" w:name="_Toc17643"/>
      <w:bookmarkStart w:id="717" w:name="_Toc152042375"/>
      <w:bookmarkStart w:id="718" w:name="_Toc152045598"/>
      <w:bookmarkStart w:id="719" w:name="_Toc2946"/>
      <w:bookmarkStart w:id="720" w:name="_Toc246996984"/>
      <w:bookmarkStart w:id="721" w:name="_Toc247085756"/>
      <w:bookmarkStart w:id="722" w:name="_Toc179632616"/>
      <w:bookmarkStart w:id="723" w:name="_Toc31661"/>
      <w:bookmarkStart w:id="724" w:name="_Toc246996241"/>
      <w:bookmarkStart w:id="725" w:name="_Toc144974565"/>
      <w:r>
        <w:rPr>
          <w:rFonts w:hint="eastAsia" w:ascii="宋体" w:hAnsi="宋体" w:eastAsia="宋体" w:cs="宋体"/>
          <w:b/>
          <w:bCs/>
          <w:color w:val="000000" w:themeColor="text1"/>
          <w:kern w:val="0"/>
          <w:szCs w:val="32"/>
          <w:highlight w:val="none"/>
          <w14:textFill>
            <w14:solidFill>
              <w14:schemeClr w14:val="tx1"/>
            </w14:solidFill>
          </w14:textFill>
        </w:rPr>
        <w:br w:type="page"/>
      </w:r>
      <w:bookmarkEnd w:id="715"/>
      <w:bookmarkStart w:id="726" w:name="_Toc135922567"/>
      <w:bookmarkStart w:id="727" w:name="_Toc30531"/>
      <w:r>
        <w:rPr>
          <w:rFonts w:hint="eastAsia"/>
          <w:color w:val="000000" w:themeColor="text1"/>
          <w14:textFill>
            <w14:solidFill>
              <w14:schemeClr w14:val="tx1"/>
            </w14:solidFill>
          </w14:textFill>
        </w:rPr>
        <w:t>第三章 评标办法（综合评分法）</w:t>
      </w:r>
      <w:bookmarkEnd w:id="716"/>
      <w:bookmarkEnd w:id="717"/>
      <w:bookmarkEnd w:id="718"/>
      <w:bookmarkEnd w:id="719"/>
      <w:bookmarkEnd w:id="720"/>
      <w:bookmarkEnd w:id="721"/>
      <w:bookmarkEnd w:id="722"/>
      <w:bookmarkEnd w:id="723"/>
      <w:bookmarkEnd w:id="724"/>
      <w:bookmarkEnd w:id="725"/>
      <w:bookmarkEnd w:id="726"/>
      <w:bookmarkEnd w:id="727"/>
      <w:bookmarkStart w:id="728" w:name="_Toc179632627"/>
      <w:bookmarkStart w:id="729" w:name="_Toc247085767"/>
      <w:bookmarkStart w:id="730" w:name="_Toc152045609"/>
      <w:bookmarkStart w:id="731" w:name="_Toc152042387"/>
      <w:bookmarkStart w:id="732" w:name="_Toc144974577"/>
      <w:bookmarkStart w:id="733" w:name="_Toc246996252"/>
      <w:bookmarkStart w:id="734" w:name="_Toc246996995"/>
    </w:p>
    <w:p w14:paraId="6B88A715">
      <w:pPr>
        <w:keepNext/>
        <w:keepLines/>
        <w:spacing w:before="260" w:after="260" w:line="412" w:lineRule="auto"/>
        <w:jc w:val="center"/>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735" w:name="_Toc135648925"/>
      <w:r>
        <w:rPr>
          <w:rFonts w:hint="eastAsia" w:ascii="宋体" w:hAnsi="宋体" w:eastAsia="宋体" w:cs="宋体"/>
          <w:b/>
          <w:bCs/>
          <w:color w:val="000000" w:themeColor="text1"/>
          <w:kern w:val="0"/>
          <w:sz w:val="32"/>
          <w:szCs w:val="32"/>
          <w:highlight w:val="none"/>
          <w14:textFill>
            <w14:solidFill>
              <w14:schemeClr w14:val="tx1"/>
            </w14:solidFill>
          </w14:textFill>
        </w:rPr>
        <w:t>评标办法前附表</w:t>
      </w:r>
      <w:bookmarkEnd w:id="735"/>
    </w:p>
    <w:tbl>
      <w:tblPr>
        <w:tblStyle w:val="18"/>
        <w:tblW w:w="9356" w:type="dxa"/>
        <w:tblInd w:w="-34"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851"/>
        <w:gridCol w:w="141"/>
        <w:gridCol w:w="1129"/>
        <w:gridCol w:w="2274"/>
        <w:gridCol w:w="4961"/>
      </w:tblGrid>
      <w:tr w14:paraId="1F85717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c>
          <w:tcPr>
            <w:tcW w:w="2121" w:type="dxa"/>
            <w:gridSpan w:val="3"/>
            <w:tcBorders>
              <w:top w:val="single" w:color="auto" w:sz="4" w:space="0"/>
              <w:left w:val="single" w:color="auto" w:sz="4" w:space="0"/>
              <w:bottom w:val="single" w:color="auto" w:sz="4" w:space="0"/>
              <w:right w:val="single" w:color="auto" w:sz="4" w:space="0"/>
            </w:tcBorders>
            <w:noWrap w:val="0"/>
            <w:vAlign w:val="center"/>
          </w:tcPr>
          <w:p w14:paraId="58883188">
            <w:pPr>
              <w:spacing w:line="400" w:lineRule="exact"/>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条款号</w:t>
            </w:r>
          </w:p>
        </w:tc>
        <w:tc>
          <w:tcPr>
            <w:tcW w:w="2274" w:type="dxa"/>
            <w:tcBorders>
              <w:top w:val="single" w:color="auto" w:sz="4" w:space="0"/>
              <w:left w:val="nil"/>
              <w:bottom w:val="single" w:color="auto" w:sz="4" w:space="0"/>
              <w:right w:val="single" w:color="auto" w:sz="4" w:space="0"/>
            </w:tcBorders>
            <w:noWrap w:val="0"/>
            <w:vAlign w:val="center"/>
          </w:tcPr>
          <w:p w14:paraId="279D2BD6">
            <w:pPr>
              <w:spacing w:line="400" w:lineRule="exact"/>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评审因素</w:t>
            </w:r>
          </w:p>
        </w:tc>
        <w:tc>
          <w:tcPr>
            <w:tcW w:w="4961" w:type="dxa"/>
            <w:tcBorders>
              <w:top w:val="single" w:color="auto" w:sz="4" w:space="0"/>
              <w:left w:val="nil"/>
              <w:bottom w:val="single" w:color="auto" w:sz="4" w:space="0"/>
              <w:right w:val="single" w:color="auto" w:sz="4" w:space="0"/>
            </w:tcBorders>
            <w:noWrap w:val="0"/>
            <w:vAlign w:val="center"/>
          </w:tcPr>
          <w:p w14:paraId="2867016E">
            <w:pPr>
              <w:spacing w:line="400" w:lineRule="exact"/>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评审标准</w:t>
            </w:r>
          </w:p>
        </w:tc>
      </w:tr>
      <w:tr w14:paraId="1F62741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41" w:hRule="atLeast"/>
        </w:trPr>
        <w:tc>
          <w:tcPr>
            <w:tcW w:w="992" w:type="dxa"/>
            <w:gridSpan w:val="2"/>
            <w:vMerge w:val="restart"/>
            <w:tcBorders>
              <w:top w:val="nil"/>
              <w:left w:val="single" w:color="auto" w:sz="4" w:space="0"/>
              <w:bottom w:val="single" w:color="auto" w:sz="4" w:space="0"/>
              <w:right w:val="single" w:color="auto" w:sz="4" w:space="0"/>
            </w:tcBorders>
            <w:noWrap w:val="0"/>
            <w:vAlign w:val="center"/>
          </w:tcPr>
          <w:p w14:paraId="4E758E22">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1129" w:type="dxa"/>
            <w:vMerge w:val="restart"/>
            <w:tcBorders>
              <w:top w:val="nil"/>
              <w:left w:val="nil"/>
              <w:bottom w:val="single" w:color="auto" w:sz="4" w:space="0"/>
              <w:right w:val="single" w:color="auto" w:sz="4" w:space="0"/>
            </w:tcBorders>
            <w:noWrap w:val="0"/>
            <w:vAlign w:val="center"/>
          </w:tcPr>
          <w:p w14:paraId="42765361">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资格审查</w:t>
            </w:r>
          </w:p>
        </w:tc>
        <w:tc>
          <w:tcPr>
            <w:tcW w:w="2274" w:type="dxa"/>
            <w:tcBorders>
              <w:top w:val="single" w:color="auto" w:sz="4" w:space="0"/>
              <w:left w:val="nil"/>
              <w:bottom w:val="single" w:color="auto" w:sz="4" w:space="0"/>
              <w:right w:val="single" w:color="auto" w:sz="4" w:space="0"/>
            </w:tcBorders>
            <w:noWrap w:val="0"/>
            <w:vAlign w:val="center"/>
          </w:tcPr>
          <w:p w14:paraId="2E3D2251">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营业执照</w:t>
            </w:r>
          </w:p>
        </w:tc>
        <w:tc>
          <w:tcPr>
            <w:tcW w:w="4961" w:type="dxa"/>
            <w:tcBorders>
              <w:top w:val="single" w:color="auto" w:sz="4" w:space="0"/>
              <w:left w:val="nil"/>
              <w:bottom w:val="single" w:color="auto" w:sz="4" w:space="0"/>
              <w:right w:val="single" w:color="auto" w:sz="4" w:space="0"/>
            </w:tcBorders>
            <w:noWrap w:val="0"/>
            <w:vAlign w:val="center"/>
          </w:tcPr>
          <w:p w14:paraId="7BB1B126">
            <w:pPr>
              <w:spacing w:line="400" w:lineRule="exact"/>
              <w:ind w:left="2" w:hanging="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有效的营业执照（或电子营业执照）。</w:t>
            </w:r>
          </w:p>
        </w:tc>
      </w:tr>
      <w:tr w14:paraId="01DDE26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41" w:hRule="atLeast"/>
        </w:trPr>
        <w:tc>
          <w:tcPr>
            <w:tcW w:w="992" w:type="dxa"/>
            <w:gridSpan w:val="2"/>
            <w:vMerge w:val="continue"/>
            <w:tcBorders>
              <w:top w:val="nil"/>
              <w:left w:val="single" w:color="auto" w:sz="4" w:space="0"/>
              <w:bottom w:val="single" w:color="auto" w:sz="4" w:space="0"/>
              <w:right w:val="single" w:color="auto" w:sz="4" w:space="0"/>
            </w:tcBorders>
            <w:noWrap w:val="0"/>
            <w:vAlign w:val="center"/>
          </w:tcPr>
          <w:p w14:paraId="0E17D8B4">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1129" w:type="dxa"/>
            <w:vMerge w:val="continue"/>
            <w:tcBorders>
              <w:top w:val="nil"/>
              <w:left w:val="nil"/>
              <w:bottom w:val="single" w:color="auto" w:sz="4" w:space="0"/>
              <w:right w:val="single" w:color="auto" w:sz="4" w:space="0"/>
            </w:tcBorders>
            <w:noWrap w:val="0"/>
            <w:vAlign w:val="center"/>
          </w:tcPr>
          <w:p w14:paraId="6E358A92">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2274" w:type="dxa"/>
            <w:tcBorders>
              <w:top w:val="single" w:color="auto" w:sz="4" w:space="0"/>
              <w:left w:val="nil"/>
              <w:bottom w:val="single" w:color="auto" w:sz="4" w:space="0"/>
              <w:right w:val="single" w:color="auto" w:sz="4" w:space="0"/>
            </w:tcBorders>
            <w:noWrap w:val="0"/>
            <w:vAlign w:val="center"/>
          </w:tcPr>
          <w:p w14:paraId="65F95C43">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其它要求</w:t>
            </w:r>
          </w:p>
        </w:tc>
        <w:tc>
          <w:tcPr>
            <w:tcW w:w="4961" w:type="dxa"/>
            <w:tcBorders>
              <w:top w:val="single" w:color="auto" w:sz="4" w:space="0"/>
              <w:left w:val="nil"/>
              <w:bottom w:val="single" w:color="auto" w:sz="4" w:space="0"/>
              <w:right w:val="single" w:color="auto" w:sz="4" w:space="0"/>
            </w:tcBorders>
            <w:noWrap w:val="0"/>
            <w:vAlign w:val="center"/>
          </w:tcPr>
          <w:p w14:paraId="4F657715">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w:t>
            </w:r>
            <w:r>
              <w:rPr>
                <w:rFonts w:hint="eastAsia" w:ascii="宋体" w:hAnsi="宋体" w:cs="宋体"/>
                <w:color w:val="000000" w:themeColor="text1"/>
                <w:szCs w:val="21"/>
                <w:highlight w:val="none"/>
                <w:lang w:val="en-US" w:eastAsia="zh-CN"/>
                <w14:textFill>
                  <w14:solidFill>
                    <w14:schemeClr w14:val="tx1"/>
                  </w14:solidFill>
                </w14:textFill>
              </w:rPr>
              <w:t>投标人</w:t>
            </w:r>
            <w:r>
              <w:rPr>
                <w:rFonts w:hint="eastAsia" w:ascii="宋体" w:hAnsi="宋体" w:eastAsia="宋体" w:cs="宋体"/>
                <w:color w:val="000000" w:themeColor="text1"/>
                <w:szCs w:val="21"/>
                <w:highlight w:val="none"/>
                <w14:textFill>
                  <w14:solidFill>
                    <w14:schemeClr w14:val="tx1"/>
                  </w14:solidFill>
                </w14:textFill>
              </w:rPr>
              <w:t>须知”规定</w:t>
            </w:r>
          </w:p>
        </w:tc>
      </w:tr>
      <w:tr w14:paraId="73BC810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41" w:hRule="atLeast"/>
        </w:trPr>
        <w:tc>
          <w:tcPr>
            <w:tcW w:w="9356" w:type="dxa"/>
            <w:gridSpan w:val="5"/>
            <w:tcBorders>
              <w:top w:val="single" w:color="auto" w:sz="4" w:space="0"/>
              <w:left w:val="single" w:color="auto" w:sz="4" w:space="0"/>
              <w:bottom w:val="single" w:color="auto" w:sz="4" w:space="0"/>
              <w:right w:val="single" w:color="auto" w:sz="4" w:space="0"/>
            </w:tcBorders>
            <w:noWrap w:val="0"/>
            <w:vAlign w:val="center"/>
          </w:tcPr>
          <w:p w14:paraId="77E13AEA">
            <w:pPr>
              <w:spacing w:line="400" w:lineRule="exact"/>
              <w:ind w:left="-107" w:leftChars="-51"/>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注：根据《中华人民共和国财政第87号令第四十四条规定》开标结束后，由代理机构依法对投标人的资格进行审查，合格投标人不足3家的，不得评标。</w:t>
            </w:r>
          </w:p>
        </w:tc>
      </w:tr>
      <w:tr w14:paraId="286E3BB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67" w:hRule="atLeast"/>
        </w:trPr>
        <w:tc>
          <w:tcPr>
            <w:tcW w:w="992" w:type="dxa"/>
            <w:gridSpan w:val="2"/>
            <w:vMerge w:val="restart"/>
            <w:tcBorders>
              <w:top w:val="single" w:color="auto" w:sz="4" w:space="0"/>
              <w:left w:val="single" w:color="auto" w:sz="4" w:space="0"/>
              <w:right w:val="single" w:color="auto" w:sz="4" w:space="0"/>
            </w:tcBorders>
            <w:noWrap w:val="0"/>
            <w:vAlign w:val="center"/>
          </w:tcPr>
          <w:p w14:paraId="0BEC4853">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1129" w:type="dxa"/>
            <w:vMerge w:val="restart"/>
            <w:tcBorders>
              <w:top w:val="single" w:color="auto" w:sz="4" w:space="0"/>
              <w:left w:val="nil"/>
              <w:right w:val="single" w:color="auto" w:sz="4" w:space="0"/>
            </w:tcBorders>
            <w:noWrap w:val="0"/>
            <w:vAlign w:val="center"/>
          </w:tcPr>
          <w:p w14:paraId="5D1C72F7">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形式评审</w:t>
            </w:r>
          </w:p>
        </w:tc>
        <w:tc>
          <w:tcPr>
            <w:tcW w:w="2274" w:type="dxa"/>
            <w:tcBorders>
              <w:top w:val="single" w:color="auto" w:sz="4" w:space="0"/>
              <w:left w:val="nil"/>
              <w:bottom w:val="single" w:color="auto" w:sz="4" w:space="0"/>
              <w:right w:val="single" w:color="auto" w:sz="4" w:space="0"/>
            </w:tcBorders>
            <w:noWrap w:val="0"/>
            <w:vAlign w:val="center"/>
          </w:tcPr>
          <w:p w14:paraId="5BD6BAA8">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投标人名称</w:t>
            </w:r>
          </w:p>
        </w:tc>
        <w:tc>
          <w:tcPr>
            <w:tcW w:w="4961" w:type="dxa"/>
            <w:tcBorders>
              <w:top w:val="single" w:color="auto" w:sz="4" w:space="0"/>
              <w:left w:val="nil"/>
              <w:bottom w:val="single" w:color="auto" w:sz="4" w:space="0"/>
              <w:right w:val="single" w:color="auto" w:sz="4" w:space="0"/>
            </w:tcBorders>
            <w:noWrap w:val="0"/>
            <w:vAlign w:val="center"/>
          </w:tcPr>
          <w:p w14:paraId="7AF40B15">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与营业执照一致</w:t>
            </w:r>
          </w:p>
        </w:tc>
      </w:tr>
      <w:tr w14:paraId="005BBED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67" w:hRule="atLeast"/>
        </w:trPr>
        <w:tc>
          <w:tcPr>
            <w:tcW w:w="992" w:type="dxa"/>
            <w:gridSpan w:val="2"/>
            <w:vMerge w:val="continue"/>
            <w:tcBorders>
              <w:left w:val="single" w:color="auto" w:sz="4" w:space="0"/>
              <w:right w:val="single" w:color="auto" w:sz="4" w:space="0"/>
            </w:tcBorders>
            <w:noWrap w:val="0"/>
            <w:vAlign w:val="center"/>
          </w:tcPr>
          <w:p w14:paraId="0EDC5782">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1129" w:type="dxa"/>
            <w:vMerge w:val="continue"/>
            <w:tcBorders>
              <w:left w:val="nil"/>
              <w:right w:val="single" w:color="auto" w:sz="4" w:space="0"/>
            </w:tcBorders>
            <w:noWrap w:val="0"/>
            <w:vAlign w:val="center"/>
          </w:tcPr>
          <w:p w14:paraId="07F07526">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2274" w:type="dxa"/>
            <w:tcBorders>
              <w:top w:val="single" w:color="auto" w:sz="4" w:space="0"/>
              <w:left w:val="nil"/>
              <w:bottom w:val="single" w:color="auto" w:sz="4" w:space="0"/>
              <w:right w:val="single" w:color="auto" w:sz="4" w:space="0"/>
            </w:tcBorders>
            <w:noWrap w:val="0"/>
            <w:vAlign w:val="center"/>
          </w:tcPr>
          <w:p w14:paraId="5B2E1192">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投标函及投标函附录签字盖章</w:t>
            </w:r>
          </w:p>
        </w:tc>
        <w:tc>
          <w:tcPr>
            <w:tcW w:w="4961" w:type="dxa"/>
            <w:tcBorders>
              <w:top w:val="single" w:color="auto" w:sz="4" w:space="0"/>
              <w:left w:val="nil"/>
              <w:bottom w:val="single" w:color="auto" w:sz="4" w:space="0"/>
              <w:right w:val="single" w:color="auto" w:sz="4" w:space="0"/>
            </w:tcBorders>
            <w:noWrap w:val="0"/>
            <w:vAlign w:val="center"/>
          </w:tcPr>
          <w:p w14:paraId="73671BAB">
            <w:pPr>
              <w:spacing w:line="400" w:lineRule="exact"/>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有法定代表人或其委托代理人签字并加盖单位公章。由法定代表人签字的，应附法定代表人身份证明，由代理人签字的，应附法定代表人授权委托书。</w:t>
            </w:r>
          </w:p>
        </w:tc>
      </w:tr>
      <w:tr w14:paraId="7DFA005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67" w:hRule="atLeast"/>
        </w:trPr>
        <w:tc>
          <w:tcPr>
            <w:tcW w:w="992" w:type="dxa"/>
            <w:gridSpan w:val="2"/>
            <w:vMerge w:val="continue"/>
            <w:tcBorders>
              <w:left w:val="single" w:color="auto" w:sz="4" w:space="0"/>
              <w:bottom w:val="single" w:color="auto" w:sz="4" w:space="0"/>
              <w:right w:val="single" w:color="auto" w:sz="4" w:space="0"/>
            </w:tcBorders>
            <w:noWrap w:val="0"/>
            <w:vAlign w:val="center"/>
          </w:tcPr>
          <w:p w14:paraId="3B6F0EC8">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1129" w:type="dxa"/>
            <w:vMerge w:val="continue"/>
            <w:tcBorders>
              <w:left w:val="nil"/>
              <w:bottom w:val="single" w:color="auto" w:sz="4" w:space="0"/>
              <w:right w:val="single" w:color="auto" w:sz="4" w:space="0"/>
            </w:tcBorders>
            <w:noWrap w:val="0"/>
            <w:vAlign w:val="center"/>
          </w:tcPr>
          <w:p w14:paraId="7F11F166">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2274" w:type="dxa"/>
            <w:tcBorders>
              <w:top w:val="single" w:color="auto" w:sz="4" w:space="0"/>
              <w:left w:val="nil"/>
              <w:bottom w:val="single" w:color="auto" w:sz="4" w:space="0"/>
              <w:right w:val="single" w:color="auto" w:sz="4" w:space="0"/>
            </w:tcBorders>
            <w:noWrap w:val="0"/>
            <w:vAlign w:val="center"/>
          </w:tcPr>
          <w:p w14:paraId="015997EF">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投标文件格式</w:t>
            </w:r>
          </w:p>
        </w:tc>
        <w:tc>
          <w:tcPr>
            <w:tcW w:w="4961" w:type="dxa"/>
            <w:tcBorders>
              <w:top w:val="single" w:color="auto" w:sz="4" w:space="0"/>
              <w:left w:val="nil"/>
              <w:bottom w:val="single" w:color="auto" w:sz="4" w:space="0"/>
              <w:right w:val="single" w:color="auto" w:sz="4" w:space="0"/>
            </w:tcBorders>
            <w:noWrap w:val="0"/>
            <w:vAlign w:val="center"/>
          </w:tcPr>
          <w:p w14:paraId="2E0DC1C3">
            <w:pPr>
              <w:spacing w:line="400" w:lineRule="exact"/>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符合第六章“投标文件格式”的要求</w:t>
            </w:r>
          </w:p>
        </w:tc>
      </w:tr>
      <w:tr w14:paraId="0F0975A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67" w:hRule="atLeast"/>
        </w:trPr>
        <w:tc>
          <w:tcPr>
            <w:tcW w:w="992" w:type="dxa"/>
            <w:gridSpan w:val="2"/>
            <w:vMerge w:val="restart"/>
            <w:tcBorders>
              <w:top w:val="single" w:color="auto" w:sz="4" w:space="0"/>
              <w:left w:val="single" w:color="auto" w:sz="4" w:space="0"/>
              <w:right w:val="single" w:color="auto" w:sz="4" w:space="0"/>
            </w:tcBorders>
            <w:noWrap w:val="0"/>
            <w:vAlign w:val="center"/>
          </w:tcPr>
          <w:p w14:paraId="555BF930">
            <w:pPr>
              <w:widowControl/>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p>
        </w:tc>
        <w:tc>
          <w:tcPr>
            <w:tcW w:w="1129" w:type="dxa"/>
            <w:vMerge w:val="restart"/>
            <w:tcBorders>
              <w:top w:val="single" w:color="auto" w:sz="4" w:space="0"/>
              <w:left w:val="nil"/>
              <w:right w:val="single" w:color="auto" w:sz="4" w:space="0"/>
            </w:tcBorders>
            <w:noWrap w:val="0"/>
            <w:vAlign w:val="center"/>
          </w:tcPr>
          <w:p w14:paraId="0127F27F">
            <w:pPr>
              <w:widowControl/>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响应性评审</w:t>
            </w:r>
          </w:p>
        </w:tc>
        <w:tc>
          <w:tcPr>
            <w:tcW w:w="2274" w:type="dxa"/>
            <w:tcBorders>
              <w:top w:val="single" w:color="auto" w:sz="4" w:space="0"/>
              <w:left w:val="nil"/>
              <w:bottom w:val="single" w:color="auto" w:sz="4" w:space="0"/>
              <w:right w:val="single" w:color="auto" w:sz="4" w:space="0"/>
            </w:tcBorders>
            <w:noWrap w:val="0"/>
            <w:vAlign w:val="center"/>
          </w:tcPr>
          <w:p w14:paraId="3B3FC84C">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投标报价</w:t>
            </w:r>
          </w:p>
        </w:tc>
        <w:tc>
          <w:tcPr>
            <w:tcW w:w="4961" w:type="dxa"/>
            <w:tcBorders>
              <w:top w:val="single" w:color="auto" w:sz="4" w:space="0"/>
              <w:left w:val="nil"/>
              <w:bottom w:val="single" w:color="auto" w:sz="4" w:space="0"/>
              <w:right w:val="single" w:color="auto" w:sz="4" w:space="0"/>
            </w:tcBorders>
            <w:noWrap w:val="0"/>
            <w:vAlign w:val="center"/>
          </w:tcPr>
          <w:p w14:paraId="0C655F8E">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符合第二章“投标人须知”规定</w:t>
            </w:r>
          </w:p>
        </w:tc>
      </w:tr>
      <w:tr w14:paraId="21DD18D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67" w:hRule="atLeast"/>
        </w:trPr>
        <w:tc>
          <w:tcPr>
            <w:tcW w:w="992" w:type="dxa"/>
            <w:gridSpan w:val="2"/>
            <w:vMerge w:val="continue"/>
            <w:tcBorders>
              <w:left w:val="single" w:color="auto" w:sz="4" w:space="0"/>
              <w:right w:val="single" w:color="auto" w:sz="4" w:space="0"/>
            </w:tcBorders>
            <w:noWrap w:val="0"/>
            <w:vAlign w:val="center"/>
          </w:tcPr>
          <w:p w14:paraId="661F78CA">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1129" w:type="dxa"/>
            <w:vMerge w:val="continue"/>
            <w:tcBorders>
              <w:left w:val="nil"/>
              <w:right w:val="single" w:color="auto" w:sz="4" w:space="0"/>
            </w:tcBorders>
            <w:noWrap w:val="0"/>
            <w:vAlign w:val="center"/>
          </w:tcPr>
          <w:p w14:paraId="4AF3D028">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2274" w:type="dxa"/>
            <w:tcBorders>
              <w:top w:val="single" w:color="auto" w:sz="4" w:space="0"/>
              <w:left w:val="nil"/>
              <w:bottom w:val="single" w:color="auto" w:sz="4" w:space="0"/>
              <w:right w:val="single" w:color="auto" w:sz="4" w:space="0"/>
            </w:tcBorders>
            <w:noWrap w:val="0"/>
            <w:vAlign w:val="center"/>
          </w:tcPr>
          <w:p w14:paraId="575EC25F">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投标内容</w:t>
            </w:r>
          </w:p>
        </w:tc>
        <w:tc>
          <w:tcPr>
            <w:tcW w:w="4961" w:type="dxa"/>
            <w:tcBorders>
              <w:top w:val="single" w:color="auto" w:sz="4" w:space="0"/>
              <w:left w:val="nil"/>
              <w:bottom w:val="single" w:color="auto" w:sz="4" w:space="0"/>
              <w:right w:val="single" w:color="auto" w:sz="4" w:space="0"/>
            </w:tcBorders>
            <w:noWrap w:val="0"/>
            <w:vAlign w:val="center"/>
          </w:tcPr>
          <w:p w14:paraId="09C15E56">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符合第二章“投标人须知”规定</w:t>
            </w:r>
          </w:p>
        </w:tc>
      </w:tr>
      <w:tr w14:paraId="49FBAA6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67" w:hRule="atLeast"/>
        </w:trPr>
        <w:tc>
          <w:tcPr>
            <w:tcW w:w="992" w:type="dxa"/>
            <w:gridSpan w:val="2"/>
            <w:vMerge w:val="continue"/>
            <w:tcBorders>
              <w:left w:val="single" w:color="auto" w:sz="4" w:space="0"/>
              <w:right w:val="single" w:color="auto" w:sz="4" w:space="0"/>
            </w:tcBorders>
            <w:noWrap w:val="0"/>
            <w:vAlign w:val="center"/>
          </w:tcPr>
          <w:p w14:paraId="1A98C64E">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1129" w:type="dxa"/>
            <w:vMerge w:val="continue"/>
            <w:tcBorders>
              <w:left w:val="nil"/>
              <w:right w:val="single" w:color="auto" w:sz="4" w:space="0"/>
            </w:tcBorders>
            <w:noWrap w:val="0"/>
            <w:vAlign w:val="center"/>
          </w:tcPr>
          <w:p w14:paraId="651178B8">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2274" w:type="dxa"/>
            <w:tcBorders>
              <w:top w:val="single" w:color="auto" w:sz="4" w:space="0"/>
              <w:left w:val="nil"/>
              <w:bottom w:val="single" w:color="auto" w:sz="4" w:space="0"/>
              <w:right w:val="single" w:color="auto" w:sz="4" w:space="0"/>
            </w:tcBorders>
            <w:noWrap w:val="0"/>
            <w:vAlign w:val="center"/>
          </w:tcPr>
          <w:p w14:paraId="61A56370">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质量</w:t>
            </w:r>
          </w:p>
        </w:tc>
        <w:tc>
          <w:tcPr>
            <w:tcW w:w="4961" w:type="dxa"/>
            <w:tcBorders>
              <w:top w:val="single" w:color="auto" w:sz="4" w:space="0"/>
              <w:left w:val="nil"/>
              <w:bottom w:val="single" w:color="auto" w:sz="4" w:space="0"/>
              <w:right w:val="single" w:color="auto" w:sz="4" w:space="0"/>
            </w:tcBorders>
            <w:noWrap w:val="0"/>
            <w:vAlign w:val="center"/>
          </w:tcPr>
          <w:p w14:paraId="29E1736B">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符合第二章“投标人须知”规定</w:t>
            </w:r>
          </w:p>
        </w:tc>
      </w:tr>
      <w:tr w14:paraId="52F54CE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67" w:hRule="atLeast"/>
        </w:trPr>
        <w:tc>
          <w:tcPr>
            <w:tcW w:w="992" w:type="dxa"/>
            <w:gridSpan w:val="2"/>
            <w:vMerge w:val="continue"/>
            <w:tcBorders>
              <w:left w:val="single" w:color="auto" w:sz="4" w:space="0"/>
              <w:right w:val="single" w:color="auto" w:sz="4" w:space="0"/>
            </w:tcBorders>
            <w:noWrap w:val="0"/>
            <w:vAlign w:val="center"/>
          </w:tcPr>
          <w:p w14:paraId="72A4960D">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1129" w:type="dxa"/>
            <w:vMerge w:val="continue"/>
            <w:tcBorders>
              <w:left w:val="nil"/>
              <w:right w:val="single" w:color="auto" w:sz="4" w:space="0"/>
            </w:tcBorders>
            <w:noWrap w:val="0"/>
            <w:vAlign w:val="center"/>
          </w:tcPr>
          <w:p w14:paraId="55576DC3">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2274" w:type="dxa"/>
            <w:tcBorders>
              <w:top w:val="single" w:color="auto" w:sz="4" w:space="0"/>
              <w:left w:val="nil"/>
              <w:bottom w:val="single" w:color="auto" w:sz="4" w:space="0"/>
              <w:right w:val="single" w:color="auto" w:sz="4" w:space="0"/>
            </w:tcBorders>
            <w:noWrap w:val="0"/>
            <w:vAlign w:val="center"/>
          </w:tcPr>
          <w:p w14:paraId="76D28C6B">
            <w:pPr>
              <w:spacing w:line="400" w:lineRule="exact"/>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交货</w:t>
            </w:r>
            <w:r>
              <w:rPr>
                <w:rFonts w:hint="eastAsia" w:ascii="宋体" w:hAnsi="宋体" w:eastAsia="宋体" w:cs="宋体"/>
                <w:color w:val="000000" w:themeColor="text1"/>
                <w:szCs w:val="21"/>
                <w:highlight w:val="none"/>
                <w:lang w:val="en-US" w:eastAsia="zh-CN"/>
                <w14:textFill>
                  <w14:solidFill>
                    <w14:schemeClr w14:val="tx1"/>
                  </w14:solidFill>
                </w14:textFill>
              </w:rPr>
              <w:t>及安装期</w:t>
            </w:r>
          </w:p>
        </w:tc>
        <w:tc>
          <w:tcPr>
            <w:tcW w:w="4961" w:type="dxa"/>
            <w:tcBorders>
              <w:top w:val="single" w:color="auto" w:sz="4" w:space="0"/>
              <w:left w:val="nil"/>
              <w:bottom w:val="single" w:color="auto" w:sz="4" w:space="0"/>
              <w:right w:val="single" w:color="auto" w:sz="4" w:space="0"/>
            </w:tcBorders>
            <w:noWrap w:val="0"/>
            <w:vAlign w:val="center"/>
          </w:tcPr>
          <w:p w14:paraId="26715254">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符合第二章“投标人须知”规定</w:t>
            </w:r>
          </w:p>
        </w:tc>
      </w:tr>
      <w:tr w14:paraId="301DD35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67" w:hRule="atLeast"/>
        </w:trPr>
        <w:tc>
          <w:tcPr>
            <w:tcW w:w="992" w:type="dxa"/>
            <w:gridSpan w:val="2"/>
            <w:vMerge w:val="continue"/>
            <w:tcBorders>
              <w:left w:val="single" w:color="auto" w:sz="4" w:space="0"/>
              <w:right w:val="single" w:color="auto" w:sz="4" w:space="0"/>
            </w:tcBorders>
            <w:noWrap w:val="0"/>
            <w:vAlign w:val="center"/>
          </w:tcPr>
          <w:p w14:paraId="793BF4D0">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1129" w:type="dxa"/>
            <w:vMerge w:val="continue"/>
            <w:tcBorders>
              <w:left w:val="nil"/>
              <w:right w:val="single" w:color="auto" w:sz="4" w:space="0"/>
            </w:tcBorders>
            <w:noWrap w:val="0"/>
            <w:vAlign w:val="center"/>
          </w:tcPr>
          <w:p w14:paraId="4C741164">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2274" w:type="dxa"/>
            <w:tcBorders>
              <w:top w:val="single" w:color="auto" w:sz="4" w:space="0"/>
              <w:left w:val="nil"/>
              <w:bottom w:val="single" w:color="auto" w:sz="4" w:space="0"/>
              <w:right w:val="single" w:color="auto" w:sz="4" w:space="0"/>
            </w:tcBorders>
            <w:noWrap w:val="0"/>
            <w:vAlign w:val="center"/>
          </w:tcPr>
          <w:p w14:paraId="38A32010">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交货及安装地点</w:t>
            </w:r>
          </w:p>
        </w:tc>
        <w:tc>
          <w:tcPr>
            <w:tcW w:w="4961" w:type="dxa"/>
            <w:tcBorders>
              <w:top w:val="single" w:color="auto" w:sz="4" w:space="0"/>
              <w:left w:val="nil"/>
              <w:bottom w:val="single" w:color="auto" w:sz="4" w:space="0"/>
              <w:right w:val="single" w:color="auto" w:sz="4" w:space="0"/>
            </w:tcBorders>
            <w:noWrap w:val="0"/>
            <w:vAlign w:val="center"/>
          </w:tcPr>
          <w:p w14:paraId="60FFCFA8">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符合第二章“投标人须知”规定</w:t>
            </w:r>
          </w:p>
        </w:tc>
      </w:tr>
      <w:tr w14:paraId="6A6C4E1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67" w:hRule="atLeast"/>
        </w:trPr>
        <w:tc>
          <w:tcPr>
            <w:tcW w:w="992" w:type="dxa"/>
            <w:gridSpan w:val="2"/>
            <w:vMerge w:val="continue"/>
            <w:tcBorders>
              <w:left w:val="single" w:color="auto" w:sz="4" w:space="0"/>
              <w:right w:val="single" w:color="auto" w:sz="4" w:space="0"/>
            </w:tcBorders>
            <w:noWrap w:val="0"/>
            <w:vAlign w:val="center"/>
          </w:tcPr>
          <w:p w14:paraId="4A34E400">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1129" w:type="dxa"/>
            <w:vMerge w:val="continue"/>
            <w:tcBorders>
              <w:left w:val="nil"/>
              <w:right w:val="single" w:color="auto" w:sz="4" w:space="0"/>
            </w:tcBorders>
            <w:noWrap w:val="0"/>
            <w:vAlign w:val="center"/>
          </w:tcPr>
          <w:p w14:paraId="4F989DF0">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2274" w:type="dxa"/>
            <w:tcBorders>
              <w:top w:val="single" w:color="auto" w:sz="4" w:space="0"/>
              <w:left w:val="nil"/>
              <w:bottom w:val="single" w:color="auto" w:sz="4" w:space="0"/>
              <w:right w:val="single" w:color="auto" w:sz="4" w:space="0"/>
            </w:tcBorders>
            <w:noWrap w:val="0"/>
            <w:vAlign w:val="center"/>
          </w:tcPr>
          <w:p w14:paraId="1BEE0258">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质保期</w:t>
            </w:r>
          </w:p>
        </w:tc>
        <w:tc>
          <w:tcPr>
            <w:tcW w:w="4961" w:type="dxa"/>
            <w:tcBorders>
              <w:top w:val="single" w:color="auto" w:sz="4" w:space="0"/>
              <w:left w:val="nil"/>
              <w:bottom w:val="single" w:color="auto" w:sz="4" w:space="0"/>
              <w:right w:val="single" w:color="auto" w:sz="4" w:space="0"/>
            </w:tcBorders>
            <w:noWrap w:val="0"/>
            <w:vAlign w:val="center"/>
          </w:tcPr>
          <w:p w14:paraId="14BB317F">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符合或优于第二章“投标人须知”规定</w:t>
            </w:r>
          </w:p>
        </w:tc>
      </w:tr>
      <w:tr w14:paraId="45BAEEC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67" w:hRule="atLeast"/>
        </w:trPr>
        <w:tc>
          <w:tcPr>
            <w:tcW w:w="992" w:type="dxa"/>
            <w:gridSpan w:val="2"/>
            <w:vMerge w:val="continue"/>
            <w:tcBorders>
              <w:left w:val="single" w:color="auto" w:sz="4" w:space="0"/>
              <w:right w:val="single" w:color="auto" w:sz="4" w:space="0"/>
            </w:tcBorders>
            <w:noWrap w:val="0"/>
            <w:vAlign w:val="center"/>
          </w:tcPr>
          <w:p w14:paraId="224A93DD">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1129" w:type="dxa"/>
            <w:vMerge w:val="continue"/>
            <w:tcBorders>
              <w:left w:val="nil"/>
              <w:right w:val="single" w:color="auto" w:sz="4" w:space="0"/>
            </w:tcBorders>
            <w:noWrap w:val="0"/>
            <w:vAlign w:val="center"/>
          </w:tcPr>
          <w:p w14:paraId="0D646AA6">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2274" w:type="dxa"/>
            <w:tcBorders>
              <w:top w:val="single" w:color="auto" w:sz="4" w:space="0"/>
              <w:left w:val="nil"/>
              <w:bottom w:val="single" w:color="auto" w:sz="4" w:space="0"/>
              <w:right w:val="single" w:color="auto" w:sz="4" w:space="0"/>
            </w:tcBorders>
            <w:noWrap w:val="0"/>
            <w:vAlign w:val="center"/>
          </w:tcPr>
          <w:p w14:paraId="184DC475">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投标有效期</w:t>
            </w:r>
          </w:p>
        </w:tc>
        <w:tc>
          <w:tcPr>
            <w:tcW w:w="4961" w:type="dxa"/>
            <w:tcBorders>
              <w:top w:val="single" w:color="auto" w:sz="4" w:space="0"/>
              <w:left w:val="nil"/>
              <w:bottom w:val="single" w:color="auto" w:sz="4" w:space="0"/>
              <w:right w:val="single" w:color="auto" w:sz="4" w:space="0"/>
            </w:tcBorders>
            <w:noWrap w:val="0"/>
            <w:vAlign w:val="center"/>
          </w:tcPr>
          <w:p w14:paraId="490AB8E8">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符合第二章“投标人须知”规定</w:t>
            </w:r>
          </w:p>
        </w:tc>
      </w:tr>
      <w:tr w14:paraId="36CE68D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567" w:hRule="atLeast"/>
        </w:trPr>
        <w:tc>
          <w:tcPr>
            <w:tcW w:w="992" w:type="dxa"/>
            <w:gridSpan w:val="2"/>
            <w:vMerge w:val="continue"/>
            <w:tcBorders>
              <w:left w:val="single" w:color="auto" w:sz="4" w:space="0"/>
              <w:bottom w:val="single" w:color="auto" w:sz="4" w:space="0"/>
              <w:right w:val="single" w:color="auto" w:sz="4" w:space="0"/>
            </w:tcBorders>
            <w:noWrap w:val="0"/>
            <w:vAlign w:val="center"/>
          </w:tcPr>
          <w:p w14:paraId="7AE6AA87">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1129" w:type="dxa"/>
            <w:vMerge w:val="continue"/>
            <w:tcBorders>
              <w:left w:val="nil"/>
              <w:bottom w:val="single" w:color="auto" w:sz="4" w:space="0"/>
              <w:right w:val="single" w:color="auto" w:sz="4" w:space="0"/>
            </w:tcBorders>
            <w:noWrap w:val="0"/>
            <w:vAlign w:val="center"/>
          </w:tcPr>
          <w:p w14:paraId="45A65819">
            <w:pPr>
              <w:widowControl/>
              <w:jc w:val="left"/>
              <w:rPr>
                <w:rFonts w:hint="eastAsia" w:ascii="宋体" w:hAnsi="宋体" w:eastAsia="宋体" w:cs="宋体"/>
                <w:color w:val="000000" w:themeColor="text1"/>
                <w:szCs w:val="21"/>
                <w:highlight w:val="none"/>
                <w14:textFill>
                  <w14:solidFill>
                    <w14:schemeClr w14:val="tx1"/>
                  </w14:solidFill>
                </w14:textFill>
              </w:rPr>
            </w:pPr>
          </w:p>
        </w:tc>
        <w:tc>
          <w:tcPr>
            <w:tcW w:w="2274" w:type="dxa"/>
            <w:tcBorders>
              <w:top w:val="single" w:color="auto" w:sz="4" w:space="0"/>
              <w:left w:val="nil"/>
              <w:bottom w:val="single" w:color="auto" w:sz="4" w:space="0"/>
              <w:right w:val="single" w:color="auto" w:sz="4" w:space="0"/>
            </w:tcBorders>
            <w:noWrap w:val="0"/>
            <w:vAlign w:val="center"/>
          </w:tcPr>
          <w:p w14:paraId="74D21A1D">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其他实质性要求</w:t>
            </w:r>
          </w:p>
        </w:tc>
        <w:tc>
          <w:tcPr>
            <w:tcW w:w="4961" w:type="dxa"/>
            <w:tcBorders>
              <w:top w:val="single" w:color="auto" w:sz="4" w:space="0"/>
              <w:left w:val="nil"/>
              <w:bottom w:val="single" w:color="auto" w:sz="4" w:space="0"/>
              <w:right w:val="single" w:color="auto" w:sz="4" w:space="0"/>
            </w:tcBorders>
            <w:noWrap w:val="0"/>
            <w:vAlign w:val="center"/>
          </w:tcPr>
          <w:p w14:paraId="4631AEF8">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符合法律、法规和招标文件中规定的其他实质性要求</w:t>
            </w:r>
          </w:p>
        </w:tc>
      </w:tr>
      <w:tr w14:paraId="2E847AE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12" w:hRule="atLeast"/>
        </w:trPr>
        <w:tc>
          <w:tcPr>
            <w:tcW w:w="2121" w:type="dxa"/>
            <w:gridSpan w:val="3"/>
            <w:tcBorders>
              <w:top w:val="single" w:color="auto" w:sz="4" w:space="0"/>
              <w:left w:val="single" w:color="auto" w:sz="4" w:space="0"/>
              <w:bottom w:val="single" w:color="auto" w:sz="4" w:space="0"/>
              <w:right w:val="single" w:color="auto" w:sz="4" w:space="0"/>
            </w:tcBorders>
            <w:noWrap w:val="0"/>
            <w:vAlign w:val="center"/>
          </w:tcPr>
          <w:p w14:paraId="4DD33558">
            <w:pPr>
              <w:spacing w:line="400" w:lineRule="exact"/>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条款号</w:t>
            </w:r>
          </w:p>
        </w:tc>
        <w:tc>
          <w:tcPr>
            <w:tcW w:w="2274" w:type="dxa"/>
            <w:tcBorders>
              <w:top w:val="single" w:color="auto" w:sz="4" w:space="0"/>
              <w:left w:val="nil"/>
              <w:bottom w:val="single" w:color="auto" w:sz="4" w:space="0"/>
              <w:right w:val="single" w:color="auto" w:sz="4" w:space="0"/>
            </w:tcBorders>
            <w:noWrap w:val="0"/>
            <w:vAlign w:val="center"/>
          </w:tcPr>
          <w:p w14:paraId="14D73BE9">
            <w:pPr>
              <w:spacing w:line="400" w:lineRule="exact"/>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条款内容</w:t>
            </w:r>
          </w:p>
        </w:tc>
        <w:tc>
          <w:tcPr>
            <w:tcW w:w="4961" w:type="dxa"/>
            <w:tcBorders>
              <w:top w:val="single" w:color="auto" w:sz="4" w:space="0"/>
              <w:left w:val="nil"/>
              <w:bottom w:val="single" w:color="auto" w:sz="4" w:space="0"/>
              <w:right w:val="single" w:color="auto" w:sz="4" w:space="0"/>
            </w:tcBorders>
            <w:noWrap w:val="0"/>
            <w:vAlign w:val="center"/>
          </w:tcPr>
          <w:p w14:paraId="7F426385">
            <w:pPr>
              <w:spacing w:line="400" w:lineRule="exact"/>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编列内容</w:t>
            </w:r>
          </w:p>
        </w:tc>
      </w:tr>
      <w:tr w14:paraId="1E70788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1186" w:hRule="atLeast"/>
        </w:trPr>
        <w:tc>
          <w:tcPr>
            <w:tcW w:w="2121" w:type="dxa"/>
            <w:gridSpan w:val="3"/>
            <w:tcBorders>
              <w:top w:val="single" w:color="auto" w:sz="4" w:space="0"/>
              <w:left w:val="single" w:color="auto" w:sz="4" w:space="0"/>
              <w:bottom w:val="single" w:color="auto" w:sz="4" w:space="0"/>
              <w:right w:val="single" w:color="auto" w:sz="4" w:space="0"/>
            </w:tcBorders>
            <w:noWrap w:val="0"/>
            <w:vAlign w:val="center"/>
          </w:tcPr>
          <w:p w14:paraId="48B82832">
            <w:pPr>
              <w:spacing w:line="40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4</w:t>
            </w:r>
          </w:p>
        </w:tc>
        <w:tc>
          <w:tcPr>
            <w:tcW w:w="2274" w:type="dxa"/>
            <w:tcBorders>
              <w:top w:val="single" w:color="auto" w:sz="4" w:space="0"/>
              <w:left w:val="nil"/>
              <w:bottom w:val="single" w:color="auto" w:sz="4" w:space="0"/>
              <w:right w:val="single" w:color="auto" w:sz="4" w:space="0"/>
            </w:tcBorders>
            <w:noWrap w:val="0"/>
            <w:vAlign w:val="center"/>
          </w:tcPr>
          <w:p w14:paraId="1F78E81F">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分值构成</w:t>
            </w:r>
          </w:p>
          <w:p w14:paraId="0174899D">
            <w:pPr>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(总分100分)</w:t>
            </w:r>
          </w:p>
        </w:tc>
        <w:tc>
          <w:tcPr>
            <w:tcW w:w="4961" w:type="dxa"/>
            <w:tcBorders>
              <w:top w:val="single" w:color="auto" w:sz="4" w:space="0"/>
              <w:left w:val="nil"/>
              <w:bottom w:val="single" w:color="auto" w:sz="4" w:space="0"/>
              <w:right w:val="single" w:color="auto" w:sz="4" w:space="0"/>
            </w:tcBorders>
            <w:noWrap w:val="0"/>
            <w:vAlign w:val="center"/>
          </w:tcPr>
          <w:p w14:paraId="28AD52E4">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投标报价：30分</w:t>
            </w:r>
          </w:p>
          <w:p w14:paraId="0CCB8B7E">
            <w:pPr>
              <w:pStyle w:val="2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18"/>
                <w:highlight w:val="none"/>
                <w14:textFill>
                  <w14:solidFill>
                    <w14:schemeClr w14:val="tx1"/>
                  </w14:solidFill>
                </w14:textFill>
              </w:rPr>
              <w:t>技术标部分：</w:t>
            </w:r>
            <w:r>
              <w:rPr>
                <w:rFonts w:hint="eastAsia" w:ascii="宋体" w:hAnsi="宋体" w:eastAsia="宋体" w:cs="宋体"/>
                <w:color w:val="000000" w:themeColor="text1"/>
                <w:sz w:val="21"/>
                <w:szCs w:val="18"/>
                <w:highlight w:val="none"/>
                <w:lang w:val="en-US" w:eastAsia="zh-CN"/>
                <w14:textFill>
                  <w14:solidFill>
                    <w14:schemeClr w14:val="tx1"/>
                  </w14:solidFill>
                </w14:textFill>
              </w:rPr>
              <w:t>60</w:t>
            </w:r>
            <w:r>
              <w:rPr>
                <w:rFonts w:hint="eastAsia" w:ascii="宋体" w:hAnsi="宋体" w:eastAsia="宋体" w:cs="宋体"/>
                <w:color w:val="000000" w:themeColor="text1"/>
                <w:sz w:val="21"/>
                <w:szCs w:val="18"/>
                <w:highlight w:val="none"/>
                <w14:textFill>
                  <w14:solidFill>
                    <w14:schemeClr w14:val="tx1"/>
                  </w14:solidFill>
                </w14:textFill>
              </w:rPr>
              <w:t>分</w:t>
            </w:r>
          </w:p>
          <w:p w14:paraId="58D8F6B3">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综合部分</w:t>
            </w: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0</w:t>
            </w:r>
            <w:r>
              <w:rPr>
                <w:rFonts w:hint="eastAsia" w:ascii="宋体" w:hAnsi="宋体" w:eastAsia="宋体" w:cs="宋体"/>
                <w:color w:val="000000" w:themeColor="text1"/>
                <w:szCs w:val="21"/>
                <w:highlight w:val="none"/>
                <w14:textFill>
                  <w14:solidFill>
                    <w14:schemeClr w14:val="tx1"/>
                  </w14:solidFill>
                </w14:textFill>
              </w:rPr>
              <w:t>分</w:t>
            </w:r>
          </w:p>
        </w:tc>
      </w:tr>
      <w:tr w14:paraId="5CD172C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96" w:hRule="atLeast"/>
        </w:trPr>
        <w:tc>
          <w:tcPr>
            <w:tcW w:w="2121" w:type="dxa"/>
            <w:gridSpan w:val="3"/>
            <w:tcBorders>
              <w:top w:val="single" w:color="auto" w:sz="4" w:space="0"/>
              <w:left w:val="single" w:color="auto" w:sz="4" w:space="0"/>
              <w:bottom w:val="single" w:color="auto" w:sz="4" w:space="0"/>
              <w:right w:val="single" w:color="auto" w:sz="4" w:space="0"/>
            </w:tcBorders>
            <w:noWrap w:val="0"/>
            <w:vAlign w:val="top"/>
          </w:tcPr>
          <w:p w14:paraId="160EA2AF">
            <w:pPr>
              <w:spacing w:line="360" w:lineRule="auto"/>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条款号</w:t>
            </w:r>
          </w:p>
        </w:tc>
        <w:tc>
          <w:tcPr>
            <w:tcW w:w="2274" w:type="dxa"/>
            <w:tcBorders>
              <w:top w:val="single" w:color="auto" w:sz="4" w:space="0"/>
              <w:left w:val="nil"/>
              <w:bottom w:val="single" w:color="auto" w:sz="4" w:space="0"/>
              <w:right w:val="single" w:color="auto" w:sz="4" w:space="0"/>
            </w:tcBorders>
            <w:noWrap w:val="0"/>
            <w:vAlign w:val="center"/>
          </w:tcPr>
          <w:p w14:paraId="62456028">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评审因素</w:t>
            </w:r>
          </w:p>
        </w:tc>
        <w:tc>
          <w:tcPr>
            <w:tcW w:w="4961" w:type="dxa"/>
            <w:tcBorders>
              <w:top w:val="single" w:color="auto" w:sz="4" w:space="0"/>
              <w:left w:val="nil"/>
              <w:bottom w:val="single" w:color="auto" w:sz="4" w:space="0"/>
              <w:right w:val="single" w:color="auto" w:sz="4" w:space="0"/>
            </w:tcBorders>
            <w:noWrap w:val="0"/>
            <w:vAlign w:val="center"/>
          </w:tcPr>
          <w:p w14:paraId="1AE9D057">
            <w:pPr>
              <w:spacing w:line="360" w:lineRule="auto"/>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评审标准</w:t>
            </w:r>
          </w:p>
        </w:tc>
      </w:tr>
      <w:tr w14:paraId="3858999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49"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14:paraId="7FE6BE2F">
            <w:pPr>
              <w:spacing w:line="360" w:lineRule="auto"/>
              <w:jc w:val="center"/>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eastAsia="宋体" w:cs="宋体"/>
                <w:b/>
                <w:color w:val="000000" w:themeColor="text1"/>
                <w:szCs w:val="21"/>
                <w:highlight w:val="none"/>
                <w:lang w:val="en-US" w:eastAsia="zh-CN"/>
                <w14:textFill>
                  <w14:solidFill>
                    <w14:schemeClr w14:val="tx1"/>
                  </w14:solidFill>
                </w14:textFill>
              </w:rPr>
              <w:t>4.1</w:t>
            </w:r>
          </w:p>
        </w:tc>
        <w:tc>
          <w:tcPr>
            <w:tcW w:w="1270" w:type="dxa"/>
            <w:gridSpan w:val="2"/>
            <w:tcBorders>
              <w:top w:val="single" w:color="auto" w:sz="4" w:space="0"/>
              <w:left w:val="single" w:color="auto" w:sz="4" w:space="0"/>
              <w:bottom w:val="single" w:color="auto" w:sz="4" w:space="0"/>
              <w:right w:val="single" w:color="auto" w:sz="4" w:space="0"/>
            </w:tcBorders>
            <w:noWrap w:val="0"/>
            <w:vAlign w:val="center"/>
          </w:tcPr>
          <w:p w14:paraId="22B15FB3">
            <w:pPr>
              <w:spacing w:line="360" w:lineRule="auto"/>
              <w:jc w:val="center"/>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投标报价  （30分）</w:t>
            </w:r>
          </w:p>
        </w:tc>
        <w:tc>
          <w:tcPr>
            <w:tcW w:w="7235" w:type="dxa"/>
            <w:gridSpan w:val="2"/>
            <w:tcBorders>
              <w:top w:val="single" w:color="auto" w:sz="4" w:space="0"/>
              <w:left w:val="nil"/>
              <w:bottom w:val="single" w:color="auto" w:sz="4" w:space="0"/>
              <w:right w:val="single" w:color="auto" w:sz="4" w:space="0"/>
            </w:tcBorders>
            <w:noWrap w:val="0"/>
            <w:vAlign w:val="center"/>
          </w:tcPr>
          <w:p w14:paraId="3EE478FB">
            <w:pPr>
              <w:spacing w:line="48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评标基准价：采用低价优先法计算，即满足招标文件要求且投标价格最低的投标报价为评标基准价，其价格分为满分30分。</w:t>
            </w:r>
          </w:p>
          <w:p w14:paraId="724FA049">
            <w:pPr>
              <w:spacing w:line="48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其他投标人的价格分统一按照下列公式计算： </w:t>
            </w:r>
          </w:p>
          <w:p w14:paraId="3E84151D">
            <w:pPr>
              <w:spacing w:line="48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投标报价得分=（评标基准价/投标报价）×30%×100</w:t>
            </w:r>
          </w:p>
          <w:p w14:paraId="72E54968">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说明：1、投标报价超过最高限价按无效投标处理。</w:t>
            </w:r>
          </w:p>
          <w:p w14:paraId="3375C26F">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bookmarkStart w:id="736" w:name="_Toc135648926"/>
            <w:bookmarkEnd w:id="736"/>
            <w:r>
              <w:rPr>
                <w:rFonts w:hint="eastAsia" w:ascii="宋体" w:hAnsi="宋体" w:eastAsia="宋体" w:cs="宋体"/>
                <w:color w:val="000000" w:themeColor="text1"/>
                <w:szCs w:val="21"/>
                <w:highlight w:val="none"/>
                <w14:textFill>
                  <w14:solidFill>
                    <w14:schemeClr w14:val="tx1"/>
                  </w14:solidFill>
                </w14:textFill>
              </w:rPr>
              <w:t>根据政府采购相关政策，给予小型、微型企业产品价格20%的扣除，用扣除后的价格计算评标基准价和参与评标。参与评标的小型（微型）企业投标报价=小型（微型）企业投标报价×（1-20%）；</w:t>
            </w:r>
          </w:p>
          <w:p w14:paraId="1732ECE3">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残疾人福利性单位、监狱企业均视同小型、微型企业。</w:t>
            </w:r>
          </w:p>
          <w:p w14:paraId="4DAA48FD">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注：①投标单位若为小型或微型企业，须提供中小企业声明函（格式见招标文件附件），并对其真实性负责；</w:t>
            </w:r>
          </w:p>
          <w:p w14:paraId="7EA90498">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②投标单位若为残疾人福利性单位，须按规定提供《残疾人福利性单位声明函》（格式见招标文件附件），并对其真实性负责；</w:t>
            </w:r>
          </w:p>
          <w:p w14:paraId="4F9D09F1">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③投标单位若为监狱企业，须提供由省级以上监狱管理局、戒毒管理局（含新疆生产建设兵团）出具的属于监狱企业的证明文件；</w:t>
            </w:r>
          </w:p>
          <w:p w14:paraId="5B023FAA">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④投标单位为小型或微型企业的，同时又为残疾人福利性单位或监狱企业的，不重复享受政策。</w:t>
            </w:r>
          </w:p>
          <w:p w14:paraId="78753A65">
            <w:pP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3、本项目执行政府采购本国产品政策，采用价格扣除方式落实；用扣除后的价格计算评标基准价和参与评标。</w:t>
            </w:r>
          </w:p>
          <w:p w14:paraId="6F8DD015">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注：①政府采购活动中同时存在本国产品与非本国产品竞争的，对符合标准的本国产品报价给予20%价格扣除</w:t>
            </w:r>
            <w:r>
              <w:rPr>
                <w:rFonts w:hint="eastAsia" w:ascii="宋体" w:hAnsi="宋体" w:eastAsia="宋体" w:cs="宋体"/>
                <w:color w:val="000000" w:themeColor="text1"/>
                <w:szCs w:val="21"/>
                <w:highlight w:val="none"/>
                <w:lang w:eastAsia="zh-CN"/>
                <w14:textFill>
                  <w14:solidFill>
                    <w14:schemeClr w14:val="tx1"/>
                  </w14:solidFill>
                </w14:textFill>
              </w:rPr>
              <w:t>；</w:t>
            </w:r>
          </w:p>
          <w:p w14:paraId="4DE5F1EC">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②项目含多种产品的，供应商符合本国产品标准的产品成本占比≥80%，对总报价给予20%价格扣除；未达80%不享受优惠。</w:t>
            </w:r>
          </w:p>
          <w:p w14:paraId="71654E0F">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符合本国产品标准的产品</w:t>
            </w:r>
            <w:r>
              <w:rPr>
                <w:rFonts w:hint="eastAsia" w:ascii="宋体" w:hAnsi="宋体" w:eastAsia="宋体" w:cs="宋体"/>
                <w:color w:val="000000" w:themeColor="text1"/>
                <w:szCs w:val="21"/>
                <w:highlight w:val="none"/>
                <w:lang w:val="en-US" w:eastAsia="zh-CN"/>
                <w14:textFill>
                  <w14:solidFill>
                    <w14:schemeClr w14:val="tx1"/>
                  </w14:solidFill>
                </w14:textFill>
              </w:rPr>
              <w:t>的</w:t>
            </w:r>
            <w:r>
              <w:rPr>
                <w:rFonts w:hint="eastAsia" w:ascii="宋体" w:hAnsi="宋体" w:eastAsia="宋体" w:cs="宋体"/>
                <w:color w:val="000000" w:themeColor="text1"/>
                <w:szCs w:val="21"/>
                <w:highlight w:val="none"/>
                <w14:textFill>
                  <w14:solidFill>
                    <w14:schemeClr w14:val="tx1"/>
                  </w14:solidFill>
                </w14:textFill>
              </w:rPr>
              <w:t>价格扣除与小微企业价格扣除可叠加适用，在原始报价基础上分别计算。</w:t>
            </w:r>
          </w:p>
          <w:p w14:paraId="489E94C1">
            <w:pPr>
              <w:spacing w:line="360" w:lineRule="auto"/>
              <w:ind w:firstLine="422"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按照评标办法和标准产生的评标价仅限于评标的比较，不作为中标价和合同签约价，中标价和合同签约价仍以其投标文件中的报价为准。</w:t>
            </w:r>
          </w:p>
          <w:p w14:paraId="200456B3">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1368FDE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274" w:hRule="atLeast"/>
        </w:trPr>
        <w:tc>
          <w:tcPr>
            <w:tcW w:w="851" w:type="dxa"/>
            <w:vMerge w:val="restart"/>
            <w:tcBorders>
              <w:top w:val="single" w:color="auto" w:sz="4" w:space="0"/>
              <w:left w:val="single" w:color="auto" w:sz="4" w:space="0"/>
              <w:right w:val="single" w:color="auto" w:sz="4" w:space="0"/>
            </w:tcBorders>
            <w:noWrap w:val="0"/>
            <w:vAlign w:val="center"/>
          </w:tcPr>
          <w:p w14:paraId="05510276">
            <w:pPr>
              <w:spacing w:line="360" w:lineRule="auto"/>
              <w:jc w:val="center"/>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eastAsia="宋体" w:cs="宋体"/>
                <w:b/>
                <w:color w:val="000000" w:themeColor="text1"/>
                <w:szCs w:val="21"/>
                <w:highlight w:val="none"/>
                <w:lang w:val="en-US" w:eastAsia="zh-CN"/>
                <w14:textFill>
                  <w14:solidFill>
                    <w14:schemeClr w14:val="tx1"/>
                  </w14:solidFill>
                </w14:textFill>
              </w:rPr>
              <w:t>4.2</w:t>
            </w:r>
          </w:p>
        </w:tc>
        <w:tc>
          <w:tcPr>
            <w:tcW w:w="1270" w:type="dxa"/>
            <w:gridSpan w:val="2"/>
            <w:vMerge w:val="restart"/>
            <w:tcBorders>
              <w:top w:val="single" w:color="auto" w:sz="4" w:space="0"/>
              <w:left w:val="single" w:color="auto" w:sz="4" w:space="0"/>
              <w:right w:val="single" w:color="auto" w:sz="4" w:space="0"/>
            </w:tcBorders>
            <w:noWrap w:val="0"/>
            <w:vAlign w:val="center"/>
          </w:tcPr>
          <w:p w14:paraId="4CAA778D">
            <w:pPr>
              <w:spacing w:line="360" w:lineRule="auto"/>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技术标部分（6</w:t>
            </w:r>
            <w:r>
              <w:rPr>
                <w:rFonts w:hint="eastAsia" w:ascii="宋体" w:hAnsi="宋体" w:eastAsia="宋体" w:cs="宋体"/>
                <w:b/>
                <w:color w:val="000000" w:themeColor="text1"/>
                <w:szCs w:val="21"/>
                <w:highlight w:val="none"/>
                <w:lang w:val="en-US" w:eastAsia="zh-CN"/>
                <w14:textFill>
                  <w14:solidFill>
                    <w14:schemeClr w14:val="tx1"/>
                  </w14:solidFill>
                </w14:textFill>
              </w:rPr>
              <w:t>0</w:t>
            </w:r>
            <w:r>
              <w:rPr>
                <w:rFonts w:hint="eastAsia" w:ascii="宋体" w:hAnsi="宋体" w:eastAsia="宋体" w:cs="宋体"/>
                <w:b/>
                <w:color w:val="000000" w:themeColor="text1"/>
                <w:szCs w:val="21"/>
                <w:highlight w:val="none"/>
                <w14:textFill>
                  <w14:solidFill>
                    <w14:schemeClr w14:val="tx1"/>
                  </w14:solidFill>
                </w14:textFill>
              </w:rPr>
              <w:t>分）</w:t>
            </w:r>
          </w:p>
        </w:tc>
        <w:tc>
          <w:tcPr>
            <w:tcW w:w="2274" w:type="dxa"/>
            <w:tcBorders>
              <w:top w:val="single" w:color="auto" w:sz="4" w:space="0"/>
              <w:left w:val="single" w:color="auto" w:sz="4" w:space="0"/>
              <w:bottom w:val="single" w:color="auto" w:sz="4" w:space="0"/>
              <w:right w:val="single" w:color="auto" w:sz="4" w:space="0"/>
            </w:tcBorders>
            <w:noWrap w:val="0"/>
            <w:vAlign w:val="center"/>
          </w:tcPr>
          <w:p w14:paraId="0ED2377D">
            <w:pPr>
              <w:spacing w:line="360" w:lineRule="auto"/>
              <w:ind w:firstLine="210" w:firstLineChars="10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技术参数</w:t>
            </w:r>
            <w:bookmarkStart w:id="737" w:name="_Toc135648927"/>
            <w:bookmarkEnd w:id="737"/>
          </w:p>
          <w:p w14:paraId="65475525">
            <w:pPr>
              <w:spacing w:line="360" w:lineRule="auto"/>
              <w:ind w:firstLine="210" w:firstLineChars="10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w:t>
            </w:r>
            <w:r>
              <w:rPr>
                <w:rFonts w:hint="eastAsia" w:ascii="宋体" w:hAnsi="宋体" w:eastAsia="宋体" w:cs="宋体"/>
                <w:bCs/>
                <w:color w:val="000000" w:themeColor="text1"/>
                <w:szCs w:val="21"/>
                <w:highlight w:val="none"/>
                <w:lang w:val="en-US" w:eastAsia="zh-CN"/>
                <w14:textFill>
                  <w14:solidFill>
                    <w14:schemeClr w14:val="tx1"/>
                  </w14:solidFill>
                </w14:textFill>
              </w:rPr>
              <w:t>3</w:t>
            </w:r>
            <w:r>
              <w:rPr>
                <w:rFonts w:hint="eastAsia" w:ascii="宋体" w:hAnsi="宋体" w:eastAsia="宋体" w:cs="宋体"/>
                <w:bCs/>
                <w:color w:val="000000" w:themeColor="text1"/>
                <w:szCs w:val="21"/>
                <w:highlight w:val="none"/>
                <w14:textFill>
                  <w14:solidFill>
                    <w14:schemeClr w14:val="tx1"/>
                  </w14:solidFill>
                </w14:textFill>
              </w:rPr>
              <w:t>0分）</w:t>
            </w:r>
          </w:p>
        </w:tc>
        <w:tc>
          <w:tcPr>
            <w:tcW w:w="4961" w:type="dxa"/>
            <w:tcBorders>
              <w:top w:val="single" w:color="auto" w:sz="4" w:space="0"/>
              <w:left w:val="single" w:color="auto" w:sz="4" w:space="0"/>
              <w:bottom w:val="single" w:color="auto" w:sz="4" w:space="0"/>
              <w:right w:val="single" w:color="auto" w:sz="4" w:space="0"/>
            </w:tcBorders>
            <w:noWrap w:val="0"/>
            <w:vAlign w:val="center"/>
          </w:tcPr>
          <w:p w14:paraId="0F4A6370">
            <w:pPr>
              <w:spacing w:line="360" w:lineRule="auto"/>
              <w:ind w:firstLine="457" w:firstLineChars="218"/>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根据招标文件中采购内容及要求，技术参数完全满足的得30分，产品技术参数中：标</w:t>
            </w:r>
            <w:r>
              <w:rPr>
                <w:rFonts w:hint="eastAsia" w:ascii="宋体" w:hAnsi="宋体" w:eastAsia="宋体" w:cs="宋体"/>
                <w:b/>
                <w:bCs/>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部分每有一项不满足或低于招标要求的，扣2分，其余部分每有一项不满足或低于招标要求的，扣1分，扣完为止。</w:t>
            </w:r>
          </w:p>
        </w:tc>
      </w:tr>
      <w:tr w14:paraId="78C466E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838" w:hRule="atLeast"/>
        </w:trPr>
        <w:tc>
          <w:tcPr>
            <w:tcW w:w="851" w:type="dxa"/>
            <w:vMerge w:val="continue"/>
            <w:tcBorders>
              <w:left w:val="single" w:color="auto" w:sz="4" w:space="0"/>
              <w:right w:val="single" w:color="auto" w:sz="4" w:space="0"/>
            </w:tcBorders>
            <w:noWrap w:val="0"/>
            <w:vAlign w:val="center"/>
          </w:tcPr>
          <w:p w14:paraId="649EACD3">
            <w:pPr>
              <w:widowControl/>
              <w:jc w:val="left"/>
              <w:rPr>
                <w:rFonts w:hint="eastAsia" w:ascii="宋体" w:hAnsi="宋体" w:eastAsia="宋体" w:cs="宋体"/>
                <w:b/>
                <w:color w:val="000000" w:themeColor="text1"/>
                <w:szCs w:val="21"/>
                <w:highlight w:val="none"/>
                <w14:textFill>
                  <w14:solidFill>
                    <w14:schemeClr w14:val="tx1"/>
                  </w14:solidFill>
                </w14:textFill>
              </w:rPr>
            </w:pPr>
          </w:p>
        </w:tc>
        <w:tc>
          <w:tcPr>
            <w:tcW w:w="1270" w:type="dxa"/>
            <w:gridSpan w:val="2"/>
            <w:vMerge w:val="continue"/>
            <w:tcBorders>
              <w:left w:val="single" w:color="auto" w:sz="4" w:space="0"/>
              <w:right w:val="single" w:color="auto" w:sz="4" w:space="0"/>
            </w:tcBorders>
            <w:noWrap w:val="0"/>
            <w:vAlign w:val="center"/>
          </w:tcPr>
          <w:p w14:paraId="0BA4A71C">
            <w:pPr>
              <w:widowControl/>
              <w:jc w:val="left"/>
              <w:rPr>
                <w:rFonts w:hint="eastAsia" w:ascii="宋体" w:hAnsi="宋体" w:eastAsia="宋体" w:cs="宋体"/>
                <w:b/>
                <w:color w:val="000000" w:themeColor="text1"/>
                <w:szCs w:val="21"/>
                <w:highlight w:val="none"/>
                <w14:textFill>
                  <w14:solidFill>
                    <w14:schemeClr w14:val="tx1"/>
                  </w14:solidFill>
                </w14:textFill>
              </w:rPr>
            </w:pPr>
          </w:p>
        </w:tc>
        <w:tc>
          <w:tcPr>
            <w:tcW w:w="2274" w:type="dxa"/>
            <w:tcBorders>
              <w:top w:val="single" w:color="auto" w:sz="4" w:space="0"/>
              <w:left w:val="single" w:color="auto" w:sz="4" w:space="0"/>
              <w:bottom w:val="single" w:color="auto" w:sz="4" w:space="0"/>
              <w:right w:val="single" w:color="auto" w:sz="4" w:space="0"/>
            </w:tcBorders>
            <w:noWrap w:val="0"/>
            <w:vAlign w:val="center"/>
          </w:tcPr>
          <w:p w14:paraId="321A2EAD">
            <w:pPr>
              <w:spacing w:line="360" w:lineRule="auto"/>
              <w:ind w:left="206" w:hanging="205" w:hangingChars="98"/>
              <w:jc w:val="center"/>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包装、运输方案（</w:t>
            </w:r>
            <w:r>
              <w:rPr>
                <w:rFonts w:hint="eastAsia" w:ascii="宋体" w:hAnsi="宋体" w:eastAsia="宋体" w:cs="宋体"/>
                <w:b w:val="0"/>
                <w:bCs/>
                <w:color w:val="000000" w:themeColor="text1"/>
                <w:szCs w:val="21"/>
                <w:highlight w:val="none"/>
                <w:lang w:val="en-US" w:eastAsia="zh-CN"/>
                <w14:textFill>
                  <w14:solidFill>
                    <w14:schemeClr w14:val="tx1"/>
                  </w14:solidFill>
                </w14:textFill>
              </w:rPr>
              <w:t>6</w:t>
            </w:r>
            <w:r>
              <w:rPr>
                <w:rFonts w:hint="eastAsia" w:ascii="宋体" w:hAnsi="宋体" w:eastAsia="宋体" w:cs="宋体"/>
                <w:b w:val="0"/>
                <w:bCs/>
                <w:color w:val="000000" w:themeColor="text1"/>
                <w:szCs w:val="21"/>
                <w:highlight w:val="none"/>
                <w14:textFill>
                  <w14:solidFill>
                    <w14:schemeClr w14:val="tx1"/>
                  </w14:solidFill>
                </w14:textFill>
              </w:rPr>
              <w:t>分）</w:t>
            </w:r>
          </w:p>
        </w:tc>
        <w:tc>
          <w:tcPr>
            <w:tcW w:w="4961" w:type="dxa"/>
            <w:tcBorders>
              <w:top w:val="single" w:color="auto" w:sz="4" w:space="0"/>
              <w:left w:val="single" w:color="auto" w:sz="4" w:space="0"/>
              <w:bottom w:val="single" w:color="auto" w:sz="4" w:space="0"/>
              <w:right w:val="single" w:color="auto" w:sz="4" w:space="0"/>
            </w:tcBorders>
            <w:noWrap w:val="0"/>
            <w:vAlign w:val="center"/>
          </w:tcPr>
          <w:p w14:paraId="71F90C63">
            <w:pPr>
              <w:spacing w:line="360" w:lineRule="auto"/>
              <w:ind w:firstLine="350" w:firstLineChars="167"/>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投标人根据供货产品特点，编制包装、运输方案</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至少包括：</w:t>
            </w:r>
            <w:r>
              <w:rPr>
                <w:rFonts w:hint="eastAsia" w:ascii="宋体" w:hAnsi="宋体" w:eastAsia="宋体" w:cs="宋体"/>
                <w:color w:val="000000" w:themeColor="text1"/>
                <w:szCs w:val="21"/>
                <w:highlight w:val="none"/>
                <w:lang w:val="en-US" w:eastAsia="zh-CN"/>
                <w14:textFill>
                  <w14:solidFill>
                    <w14:schemeClr w14:val="tx1"/>
                  </w14:solidFill>
                </w14:textFill>
              </w:rPr>
              <w:t>包装设计、运输方式、安全措施等</w:t>
            </w:r>
            <w:r>
              <w:rPr>
                <w:rFonts w:hint="eastAsia" w:ascii="宋体" w:hAnsi="宋体" w:eastAsia="宋体" w:cs="宋体"/>
                <w:color w:val="000000" w:themeColor="text1"/>
                <w:szCs w:val="21"/>
                <w:highlight w:val="none"/>
                <w14:textFill>
                  <w14:solidFill>
                    <w14:schemeClr w14:val="tx1"/>
                  </w14:solidFill>
                </w14:textFill>
              </w:rPr>
              <w:t>。</w:t>
            </w:r>
          </w:p>
          <w:p w14:paraId="1C438677">
            <w:pPr>
              <w:spacing w:line="360" w:lineRule="auto"/>
              <w:ind w:firstLine="350" w:firstLineChars="167"/>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（1）包装、运输方案内容全面详实，科学合理，针对性强，完全能够满足采购项目的需要，得</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分；</w:t>
            </w:r>
          </w:p>
          <w:p w14:paraId="65B0D972">
            <w:pPr>
              <w:spacing w:line="360" w:lineRule="auto"/>
              <w:ind w:firstLine="350" w:firstLineChars="167"/>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（2）包装、运输方案内容描述较为完整，较为科学合理，针对性较强，基本满足采购项目的需要，得</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分；</w:t>
            </w:r>
          </w:p>
          <w:p w14:paraId="328E8DA9">
            <w:pPr>
              <w:spacing w:line="360" w:lineRule="auto"/>
              <w:ind w:firstLine="350" w:firstLineChars="167"/>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（3）包装、运输方案内容描述粗略，科学性合理性差、有针对性，虽然能够基本满足采购项目的需要，但还有很多地方需要进一步完善的，得2分。</w:t>
            </w:r>
          </w:p>
        </w:tc>
      </w:tr>
      <w:tr w14:paraId="04DA166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838" w:hRule="atLeast"/>
        </w:trPr>
        <w:tc>
          <w:tcPr>
            <w:tcW w:w="851" w:type="dxa"/>
            <w:vMerge w:val="continue"/>
            <w:tcBorders>
              <w:left w:val="single" w:color="auto" w:sz="4" w:space="0"/>
              <w:right w:val="single" w:color="auto" w:sz="4" w:space="0"/>
            </w:tcBorders>
            <w:noWrap w:val="0"/>
            <w:vAlign w:val="center"/>
          </w:tcPr>
          <w:p w14:paraId="03E5CCAD">
            <w:pPr>
              <w:widowControl/>
              <w:jc w:val="left"/>
              <w:rPr>
                <w:rFonts w:hint="eastAsia" w:ascii="宋体" w:hAnsi="宋体" w:eastAsia="宋体" w:cs="宋体"/>
                <w:b/>
                <w:color w:val="000000" w:themeColor="text1"/>
                <w:szCs w:val="21"/>
                <w:highlight w:val="none"/>
                <w14:textFill>
                  <w14:solidFill>
                    <w14:schemeClr w14:val="tx1"/>
                  </w14:solidFill>
                </w14:textFill>
              </w:rPr>
            </w:pPr>
          </w:p>
        </w:tc>
        <w:tc>
          <w:tcPr>
            <w:tcW w:w="1270" w:type="dxa"/>
            <w:gridSpan w:val="2"/>
            <w:vMerge w:val="continue"/>
            <w:tcBorders>
              <w:left w:val="single" w:color="auto" w:sz="4" w:space="0"/>
              <w:right w:val="single" w:color="auto" w:sz="4" w:space="0"/>
            </w:tcBorders>
            <w:noWrap w:val="0"/>
            <w:vAlign w:val="center"/>
          </w:tcPr>
          <w:p w14:paraId="2CB50C2D">
            <w:pPr>
              <w:widowControl/>
              <w:jc w:val="left"/>
              <w:rPr>
                <w:rFonts w:hint="eastAsia" w:ascii="宋体" w:hAnsi="宋体" w:eastAsia="宋体" w:cs="宋体"/>
                <w:b/>
                <w:color w:val="000000" w:themeColor="text1"/>
                <w:szCs w:val="21"/>
                <w:highlight w:val="none"/>
                <w14:textFill>
                  <w14:solidFill>
                    <w14:schemeClr w14:val="tx1"/>
                  </w14:solidFill>
                </w14:textFill>
              </w:rPr>
            </w:pPr>
          </w:p>
        </w:tc>
        <w:tc>
          <w:tcPr>
            <w:tcW w:w="2274" w:type="dxa"/>
            <w:tcBorders>
              <w:top w:val="single" w:color="auto" w:sz="4" w:space="0"/>
              <w:left w:val="single" w:color="auto" w:sz="4" w:space="0"/>
              <w:bottom w:val="single" w:color="auto" w:sz="4" w:space="0"/>
              <w:right w:val="single" w:color="auto" w:sz="4" w:space="0"/>
            </w:tcBorders>
            <w:noWrap w:val="0"/>
            <w:vAlign w:val="center"/>
          </w:tcPr>
          <w:p w14:paraId="535EBE28">
            <w:pPr>
              <w:spacing w:line="360" w:lineRule="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安装调试方案（</w:t>
            </w:r>
            <w:r>
              <w:rPr>
                <w:rFonts w:hint="eastAsia" w:ascii="宋体" w:hAnsi="宋体" w:eastAsia="宋体" w:cs="宋体"/>
                <w:b w:val="0"/>
                <w:bCs/>
                <w:color w:val="000000" w:themeColor="text1"/>
                <w:szCs w:val="21"/>
                <w:highlight w:val="none"/>
                <w:lang w:val="en-US" w:eastAsia="zh-CN"/>
                <w14:textFill>
                  <w14:solidFill>
                    <w14:schemeClr w14:val="tx1"/>
                  </w14:solidFill>
                </w14:textFill>
              </w:rPr>
              <w:t>6</w:t>
            </w:r>
            <w:r>
              <w:rPr>
                <w:rFonts w:hint="eastAsia" w:ascii="宋体" w:hAnsi="宋体" w:eastAsia="宋体" w:cs="宋体"/>
                <w:b w:val="0"/>
                <w:bCs/>
                <w:color w:val="000000" w:themeColor="text1"/>
                <w:szCs w:val="21"/>
                <w:highlight w:val="none"/>
                <w14:textFill>
                  <w14:solidFill>
                    <w14:schemeClr w14:val="tx1"/>
                  </w14:solidFill>
                </w14:textFill>
              </w:rPr>
              <w:t>分）</w:t>
            </w:r>
          </w:p>
        </w:tc>
        <w:tc>
          <w:tcPr>
            <w:tcW w:w="4961" w:type="dxa"/>
            <w:tcBorders>
              <w:top w:val="single" w:color="auto" w:sz="4" w:space="0"/>
              <w:left w:val="single" w:color="auto" w:sz="4" w:space="0"/>
              <w:bottom w:val="single" w:color="auto" w:sz="4" w:space="0"/>
              <w:right w:val="single" w:color="auto" w:sz="4" w:space="0"/>
            </w:tcBorders>
            <w:noWrap w:val="0"/>
            <w:vAlign w:val="center"/>
          </w:tcPr>
          <w:p w14:paraId="5414C6E8">
            <w:pPr>
              <w:spacing w:line="360" w:lineRule="auto"/>
              <w:ind w:firstLine="350" w:firstLineChars="167"/>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结合采购需求，针对本项目的实际情况，提供详细科学的安装调试方案</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至少包括：</w:t>
            </w:r>
            <w:r>
              <w:rPr>
                <w:rFonts w:hint="eastAsia" w:ascii="宋体" w:hAnsi="宋体" w:eastAsia="宋体" w:cs="宋体"/>
                <w:color w:val="000000" w:themeColor="text1"/>
                <w:szCs w:val="21"/>
                <w:highlight w:val="none"/>
                <w:lang w:val="en-US" w:eastAsia="zh-CN"/>
                <w14:textFill>
                  <w14:solidFill>
                    <w14:schemeClr w14:val="tx1"/>
                  </w14:solidFill>
                </w14:textFill>
              </w:rPr>
              <w:t>安装调试前的准备工作、安装流程、调试流程等</w:t>
            </w:r>
            <w:r>
              <w:rPr>
                <w:rFonts w:hint="eastAsia" w:ascii="宋体" w:hAnsi="宋体" w:eastAsia="宋体" w:cs="宋体"/>
                <w:color w:val="000000" w:themeColor="text1"/>
                <w:szCs w:val="21"/>
                <w:highlight w:val="none"/>
                <w14:textFill>
                  <w14:solidFill>
                    <w14:schemeClr w14:val="tx1"/>
                  </w14:solidFill>
                </w14:textFill>
              </w:rPr>
              <w:t xml:space="preserve">。 </w:t>
            </w:r>
          </w:p>
          <w:p w14:paraId="3EAB7FB4">
            <w:pPr>
              <w:spacing w:line="360" w:lineRule="auto"/>
              <w:ind w:firstLine="350" w:firstLineChars="167"/>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（1）安装调试方案内容详尽、完整可行，完全满足采购项目的需要，得</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分；</w:t>
            </w:r>
          </w:p>
          <w:p w14:paraId="59E86CA5">
            <w:pPr>
              <w:spacing w:line="360" w:lineRule="auto"/>
              <w:ind w:firstLine="350" w:firstLineChars="167"/>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（2）安装调试方案内容基本完整、基本详尽，基本满足采购项目的需要，得</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 xml:space="preserve">分； </w:t>
            </w:r>
          </w:p>
          <w:p w14:paraId="1D4DFE3B">
            <w:pPr>
              <w:spacing w:line="360" w:lineRule="auto"/>
              <w:ind w:left="105" w:firstLine="350" w:firstLineChars="167"/>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（3）安装调试方案不够完整，有很多地方需要进一步完善的，得2分。</w:t>
            </w:r>
          </w:p>
        </w:tc>
      </w:tr>
      <w:tr w14:paraId="2FAAB44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838" w:hRule="atLeast"/>
        </w:trPr>
        <w:tc>
          <w:tcPr>
            <w:tcW w:w="851" w:type="dxa"/>
            <w:vMerge w:val="continue"/>
            <w:tcBorders>
              <w:left w:val="single" w:color="auto" w:sz="4" w:space="0"/>
              <w:right w:val="single" w:color="auto" w:sz="4" w:space="0"/>
            </w:tcBorders>
            <w:noWrap w:val="0"/>
            <w:vAlign w:val="center"/>
          </w:tcPr>
          <w:p w14:paraId="1197BF2C">
            <w:pPr>
              <w:widowControl/>
              <w:jc w:val="left"/>
              <w:rPr>
                <w:rFonts w:hint="eastAsia" w:ascii="宋体" w:hAnsi="宋体" w:eastAsia="宋体" w:cs="宋体"/>
                <w:b/>
                <w:color w:val="000000" w:themeColor="text1"/>
                <w:szCs w:val="21"/>
                <w:highlight w:val="none"/>
                <w14:textFill>
                  <w14:solidFill>
                    <w14:schemeClr w14:val="tx1"/>
                  </w14:solidFill>
                </w14:textFill>
              </w:rPr>
            </w:pPr>
          </w:p>
        </w:tc>
        <w:tc>
          <w:tcPr>
            <w:tcW w:w="1270" w:type="dxa"/>
            <w:gridSpan w:val="2"/>
            <w:vMerge w:val="continue"/>
            <w:tcBorders>
              <w:left w:val="single" w:color="auto" w:sz="4" w:space="0"/>
              <w:right w:val="single" w:color="auto" w:sz="4" w:space="0"/>
            </w:tcBorders>
            <w:noWrap w:val="0"/>
            <w:vAlign w:val="center"/>
          </w:tcPr>
          <w:p w14:paraId="52FE8E97">
            <w:pPr>
              <w:widowControl/>
              <w:jc w:val="left"/>
              <w:rPr>
                <w:rFonts w:hint="eastAsia" w:ascii="宋体" w:hAnsi="宋体" w:eastAsia="宋体" w:cs="宋体"/>
                <w:b/>
                <w:color w:val="000000" w:themeColor="text1"/>
                <w:szCs w:val="21"/>
                <w:highlight w:val="none"/>
                <w14:textFill>
                  <w14:solidFill>
                    <w14:schemeClr w14:val="tx1"/>
                  </w14:solidFill>
                </w14:textFill>
              </w:rPr>
            </w:pPr>
          </w:p>
        </w:tc>
        <w:tc>
          <w:tcPr>
            <w:tcW w:w="2274" w:type="dxa"/>
            <w:tcBorders>
              <w:top w:val="single" w:color="auto" w:sz="4" w:space="0"/>
              <w:left w:val="single" w:color="auto" w:sz="4" w:space="0"/>
              <w:bottom w:val="single" w:color="auto" w:sz="4" w:space="0"/>
              <w:right w:val="single" w:color="auto" w:sz="4" w:space="0"/>
            </w:tcBorders>
            <w:noWrap w:val="0"/>
            <w:vAlign w:val="center"/>
          </w:tcPr>
          <w:p w14:paraId="283C4188">
            <w:pPr>
              <w:spacing w:line="360" w:lineRule="auto"/>
              <w:ind w:left="206" w:hanging="205" w:hangingChars="98"/>
              <w:jc w:val="center"/>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进度保障措施（</w:t>
            </w:r>
            <w:r>
              <w:rPr>
                <w:rFonts w:hint="eastAsia" w:ascii="宋体" w:hAnsi="宋体" w:eastAsia="宋体" w:cs="宋体"/>
                <w:b w:val="0"/>
                <w:bCs/>
                <w:color w:val="000000" w:themeColor="text1"/>
                <w:szCs w:val="21"/>
                <w:highlight w:val="none"/>
                <w:lang w:val="en-US" w:eastAsia="zh-CN"/>
                <w14:textFill>
                  <w14:solidFill>
                    <w14:schemeClr w14:val="tx1"/>
                  </w14:solidFill>
                </w14:textFill>
              </w:rPr>
              <w:t>6</w:t>
            </w:r>
            <w:r>
              <w:rPr>
                <w:rFonts w:hint="eastAsia" w:ascii="宋体" w:hAnsi="宋体" w:eastAsia="宋体" w:cs="宋体"/>
                <w:b w:val="0"/>
                <w:bCs/>
                <w:color w:val="000000" w:themeColor="text1"/>
                <w:szCs w:val="21"/>
                <w:highlight w:val="none"/>
                <w14:textFill>
                  <w14:solidFill>
                    <w14:schemeClr w14:val="tx1"/>
                  </w14:solidFill>
                </w14:textFill>
              </w:rPr>
              <w:t>分）</w:t>
            </w:r>
          </w:p>
        </w:tc>
        <w:tc>
          <w:tcPr>
            <w:tcW w:w="4961" w:type="dxa"/>
            <w:tcBorders>
              <w:top w:val="single" w:color="auto" w:sz="4" w:space="0"/>
              <w:left w:val="single" w:color="auto" w:sz="4" w:space="0"/>
              <w:bottom w:val="single" w:color="auto" w:sz="4" w:space="0"/>
              <w:right w:val="single" w:color="auto" w:sz="4" w:space="0"/>
            </w:tcBorders>
            <w:noWrap w:val="0"/>
            <w:vAlign w:val="center"/>
          </w:tcPr>
          <w:p w14:paraId="1B07DA73">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针对项目的供货、安装调试等制定进度保障措施</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至少包括：</w:t>
            </w:r>
            <w:r>
              <w:rPr>
                <w:rFonts w:hint="eastAsia" w:ascii="宋体" w:hAnsi="宋体" w:eastAsia="宋体" w:cs="宋体"/>
                <w:color w:val="000000" w:themeColor="text1"/>
                <w:szCs w:val="21"/>
                <w:highlight w:val="none"/>
                <w:lang w:val="en-US" w:eastAsia="zh-CN"/>
                <w14:textFill>
                  <w14:solidFill>
                    <w14:schemeClr w14:val="tx1"/>
                  </w14:solidFill>
                </w14:textFill>
              </w:rPr>
              <w:t>进度计划、资源保障、过程监控与动态调整、沟通协作等</w:t>
            </w:r>
            <w:r>
              <w:rPr>
                <w:rFonts w:hint="eastAsia" w:ascii="宋体" w:hAnsi="宋体" w:eastAsia="宋体" w:cs="宋体"/>
                <w:color w:val="000000" w:themeColor="text1"/>
                <w:szCs w:val="21"/>
                <w:highlight w:val="none"/>
                <w14:textFill>
                  <w14:solidFill>
                    <w14:schemeClr w14:val="tx1"/>
                  </w14:solidFill>
                </w14:textFill>
              </w:rPr>
              <w:t>。</w:t>
            </w:r>
          </w:p>
          <w:p w14:paraId="35A0E341">
            <w:pPr>
              <w:spacing w:line="360" w:lineRule="auto"/>
              <w:ind w:firstLine="350" w:firstLineChars="167"/>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（1）措施全面详实，科学合理、可行性强，完全能够满足采购项目要求的得</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分；</w:t>
            </w:r>
          </w:p>
          <w:p w14:paraId="21675C80">
            <w:pPr>
              <w:spacing w:line="360" w:lineRule="auto"/>
              <w:ind w:firstLine="350" w:firstLineChars="167"/>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（2）措施描述较为完整，基本合理、可行，基本满足采购项目要求的得</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分；</w:t>
            </w:r>
          </w:p>
          <w:p w14:paraId="2BB44094">
            <w:pPr>
              <w:spacing w:line="360" w:lineRule="auto"/>
              <w:ind w:firstLine="350" w:firstLineChars="167"/>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（3）措施描述粗略，科学性合理性差，可行性差，有很多地方需要进一步完善的，得2分。</w:t>
            </w:r>
          </w:p>
        </w:tc>
      </w:tr>
      <w:tr w14:paraId="20845F5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838" w:hRule="atLeast"/>
        </w:trPr>
        <w:tc>
          <w:tcPr>
            <w:tcW w:w="851" w:type="dxa"/>
            <w:vMerge w:val="continue"/>
            <w:tcBorders>
              <w:left w:val="single" w:color="auto" w:sz="4" w:space="0"/>
              <w:right w:val="single" w:color="auto" w:sz="4" w:space="0"/>
            </w:tcBorders>
            <w:noWrap w:val="0"/>
            <w:vAlign w:val="center"/>
          </w:tcPr>
          <w:p w14:paraId="409B44D5">
            <w:pPr>
              <w:widowControl/>
              <w:jc w:val="left"/>
              <w:rPr>
                <w:rFonts w:hint="eastAsia" w:ascii="宋体" w:hAnsi="宋体" w:eastAsia="宋体" w:cs="宋体"/>
                <w:b/>
                <w:color w:val="000000" w:themeColor="text1"/>
                <w:szCs w:val="21"/>
                <w:highlight w:val="none"/>
                <w14:textFill>
                  <w14:solidFill>
                    <w14:schemeClr w14:val="tx1"/>
                  </w14:solidFill>
                </w14:textFill>
              </w:rPr>
            </w:pPr>
          </w:p>
        </w:tc>
        <w:tc>
          <w:tcPr>
            <w:tcW w:w="1270" w:type="dxa"/>
            <w:gridSpan w:val="2"/>
            <w:vMerge w:val="continue"/>
            <w:tcBorders>
              <w:left w:val="single" w:color="auto" w:sz="4" w:space="0"/>
              <w:right w:val="single" w:color="auto" w:sz="4" w:space="0"/>
            </w:tcBorders>
            <w:noWrap w:val="0"/>
            <w:vAlign w:val="center"/>
          </w:tcPr>
          <w:p w14:paraId="5EB41467">
            <w:pPr>
              <w:widowControl/>
              <w:jc w:val="left"/>
              <w:rPr>
                <w:rFonts w:hint="eastAsia" w:ascii="宋体" w:hAnsi="宋体" w:eastAsia="宋体" w:cs="宋体"/>
                <w:b/>
                <w:color w:val="000000" w:themeColor="text1"/>
                <w:szCs w:val="21"/>
                <w:highlight w:val="none"/>
                <w14:textFill>
                  <w14:solidFill>
                    <w14:schemeClr w14:val="tx1"/>
                  </w14:solidFill>
                </w14:textFill>
              </w:rPr>
            </w:pPr>
          </w:p>
        </w:tc>
        <w:tc>
          <w:tcPr>
            <w:tcW w:w="2274" w:type="dxa"/>
            <w:tcBorders>
              <w:top w:val="single" w:color="auto" w:sz="4" w:space="0"/>
              <w:left w:val="single" w:color="auto" w:sz="4" w:space="0"/>
              <w:bottom w:val="single" w:color="auto" w:sz="4" w:space="0"/>
              <w:right w:val="single" w:color="auto" w:sz="4" w:space="0"/>
            </w:tcBorders>
            <w:noWrap w:val="0"/>
            <w:vAlign w:val="center"/>
          </w:tcPr>
          <w:p w14:paraId="08E9D649">
            <w:pPr>
              <w:spacing w:line="360" w:lineRule="auto"/>
              <w:ind w:left="206" w:hanging="205" w:hangingChars="98"/>
              <w:jc w:val="center"/>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质量保证措施（</w:t>
            </w:r>
            <w:r>
              <w:rPr>
                <w:rFonts w:hint="eastAsia" w:ascii="宋体" w:hAnsi="宋体" w:eastAsia="宋体" w:cs="宋体"/>
                <w:b w:val="0"/>
                <w:bCs/>
                <w:color w:val="000000" w:themeColor="text1"/>
                <w:szCs w:val="21"/>
                <w:highlight w:val="none"/>
                <w:lang w:val="en-US" w:eastAsia="zh-CN"/>
                <w14:textFill>
                  <w14:solidFill>
                    <w14:schemeClr w14:val="tx1"/>
                  </w14:solidFill>
                </w14:textFill>
              </w:rPr>
              <w:t>6</w:t>
            </w:r>
            <w:r>
              <w:rPr>
                <w:rFonts w:hint="eastAsia" w:ascii="宋体" w:hAnsi="宋体" w:eastAsia="宋体" w:cs="宋体"/>
                <w:b w:val="0"/>
                <w:bCs/>
                <w:color w:val="000000" w:themeColor="text1"/>
                <w:szCs w:val="21"/>
                <w:highlight w:val="none"/>
                <w14:textFill>
                  <w14:solidFill>
                    <w14:schemeClr w14:val="tx1"/>
                  </w14:solidFill>
                </w14:textFill>
              </w:rPr>
              <w:t>分）</w:t>
            </w:r>
          </w:p>
        </w:tc>
        <w:tc>
          <w:tcPr>
            <w:tcW w:w="4961" w:type="dxa"/>
            <w:tcBorders>
              <w:top w:val="single" w:color="auto" w:sz="4" w:space="0"/>
              <w:left w:val="single" w:color="auto" w:sz="4" w:space="0"/>
              <w:bottom w:val="single" w:color="auto" w:sz="4" w:space="0"/>
              <w:right w:val="single" w:color="auto" w:sz="4" w:space="0"/>
            </w:tcBorders>
            <w:noWrap w:val="0"/>
            <w:vAlign w:val="center"/>
          </w:tcPr>
          <w:p w14:paraId="7AC13160">
            <w:pPr>
              <w:spacing w:line="360" w:lineRule="auto"/>
              <w:ind w:firstLine="350" w:firstLineChars="167"/>
              <w:rPr>
                <w:rFonts w:hint="eastAsia" w:ascii="宋体" w:hAnsi="宋体" w:eastAsia="宋体" w:cs="宋体"/>
                <w:bCs/>
                <w:color w:val="000000" w:themeColor="text1"/>
                <w:szCs w:val="21"/>
                <w:highlight w:val="none"/>
                <w14:textFill>
                  <w14:solidFill>
                    <w14:schemeClr w14:val="tx1"/>
                  </w14:solidFill>
                </w14:textFill>
              </w:rPr>
            </w:pPr>
            <w:bookmarkStart w:id="738" w:name="_Toc135922568"/>
            <w:r>
              <w:rPr>
                <w:rFonts w:hint="eastAsia" w:ascii="宋体" w:hAnsi="宋体" w:eastAsia="宋体" w:cs="宋体"/>
                <w:bCs/>
                <w:color w:val="000000" w:themeColor="text1"/>
                <w:szCs w:val="21"/>
                <w:highlight w:val="none"/>
                <w14:textFill>
                  <w14:solidFill>
                    <w14:schemeClr w14:val="tx1"/>
                  </w14:solidFill>
                </w14:textFill>
              </w:rPr>
              <w:t>针对项目采购货物质量制定保证措施</w:t>
            </w:r>
            <w:r>
              <w:rPr>
                <w:rFonts w:hint="eastAsia" w:ascii="宋体" w:hAnsi="宋体" w:eastAsia="宋体" w:cs="宋体"/>
                <w:bCs/>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至少包括：质量管控、保证措施、质量标准、检查方法等</w:t>
            </w:r>
            <w:r>
              <w:rPr>
                <w:rFonts w:hint="eastAsia" w:ascii="宋体" w:hAnsi="宋体" w:eastAsia="宋体" w:cs="宋体"/>
                <w:bCs/>
                <w:color w:val="000000" w:themeColor="text1"/>
                <w:szCs w:val="21"/>
                <w:highlight w:val="none"/>
                <w14:textFill>
                  <w14:solidFill>
                    <w14:schemeClr w14:val="tx1"/>
                  </w14:solidFill>
                </w14:textFill>
              </w:rPr>
              <w:t>。</w:t>
            </w:r>
            <w:bookmarkEnd w:id="738"/>
          </w:p>
          <w:p w14:paraId="3B188F0F">
            <w:pPr>
              <w:spacing w:line="360" w:lineRule="auto"/>
              <w:ind w:firstLine="350" w:firstLineChars="167"/>
              <w:rPr>
                <w:rFonts w:hint="eastAsia" w:ascii="宋体" w:hAnsi="宋体" w:eastAsia="宋体" w:cs="宋体"/>
                <w:bCs/>
                <w:color w:val="000000" w:themeColor="text1"/>
                <w:szCs w:val="21"/>
                <w:highlight w:val="none"/>
                <w14:textFill>
                  <w14:solidFill>
                    <w14:schemeClr w14:val="tx1"/>
                  </w14:solidFill>
                </w14:textFill>
              </w:rPr>
            </w:pPr>
            <w:bookmarkStart w:id="739" w:name="_Toc135922569"/>
            <w:r>
              <w:rPr>
                <w:rFonts w:hint="eastAsia" w:ascii="宋体" w:hAnsi="宋体" w:eastAsia="宋体" w:cs="宋体"/>
                <w:bCs/>
                <w:color w:val="000000" w:themeColor="text1"/>
                <w:szCs w:val="21"/>
                <w:highlight w:val="none"/>
                <w14:textFill>
                  <w14:solidFill>
                    <w14:schemeClr w14:val="tx1"/>
                  </w14:solidFill>
                </w14:textFill>
              </w:rPr>
              <w:t>（</w:t>
            </w:r>
            <w:bookmarkEnd w:id="739"/>
            <w:r>
              <w:rPr>
                <w:rFonts w:hint="eastAsia" w:ascii="宋体" w:hAnsi="宋体" w:eastAsia="宋体" w:cs="宋体"/>
                <w:bCs/>
                <w:color w:val="000000" w:themeColor="text1"/>
                <w:szCs w:val="21"/>
                <w:highlight w:val="none"/>
                <w14:textFill>
                  <w14:solidFill>
                    <w14:schemeClr w14:val="tx1"/>
                  </w14:solidFill>
                </w14:textFill>
              </w:rPr>
              <w:t>1）质量保证措施合理、详尽、切实、可行性强，完全能够满足采购项目的需要得</w:t>
            </w:r>
            <w:r>
              <w:rPr>
                <w:rFonts w:hint="eastAsia" w:ascii="宋体" w:hAnsi="宋体" w:eastAsia="宋体" w:cs="宋体"/>
                <w:bCs/>
                <w:color w:val="000000" w:themeColor="text1"/>
                <w:szCs w:val="21"/>
                <w:highlight w:val="none"/>
                <w:lang w:val="en-US" w:eastAsia="zh-CN"/>
                <w14:textFill>
                  <w14:solidFill>
                    <w14:schemeClr w14:val="tx1"/>
                  </w14:solidFill>
                </w14:textFill>
              </w:rPr>
              <w:t>6</w:t>
            </w:r>
            <w:r>
              <w:rPr>
                <w:rFonts w:hint="eastAsia" w:ascii="宋体" w:hAnsi="宋体" w:eastAsia="宋体" w:cs="宋体"/>
                <w:bCs/>
                <w:color w:val="000000" w:themeColor="text1"/>
                <w:szCs w:val="21"/>
                <w:highlight w:val="none"/>
                <w14:textFill>
                  <w14:solidFill>
                    <w14:schemeClr w14:val="tx1"/>
                  </w14:solidFill>
                </w14:textFill>
              </w:rPr>
              <w:t>分；</w:t>
            </w:r>
          </w:p>
          <w:p w14:paraId="115A26F5">
            <w:pPr>
              <w:spacing w:line="360" w:lineRule="auto"/>
              <w:ind w:firstLine="350" w:firstLineChars="167"/>
              <w:rPr>
                <w:rFonts w:hint="eastAsia" w:ascii="宋体" w:hAnsi="宋体" w:eastAsia="宋体" w:cs="宋体"/>
                <w:bCs/>
                <w:color w:val="000000" w:themeColor="text1"/>
                <w:szCs w:val="21"/>
                <w:highlight w:val="none"/>
                <w14:textFill>
                  <w14:solidFill>
                    <w14:schemeClr w14:val="tx1"/>
                  </w14:solidFill>
                </w14:textFill>
              </w:rPr>
            </w:pPr>
            <w:bookmarkStart w:id="740" w:name="_Toc135922570"/>
            <w:r>
              <w:rPr>
                <w:rFonts w:hint="eastAsia" w:ascii="宋体" w:hAnsi="宋体" w:eastAsia="宋体" w:cs="宋体"/>
                <w:bCs/>
                <w:color w:val="000000" w:themeColor="text1"/>
                <w:szCs w:val="21"/>
                <w:highlight w:val="none"/>
                <w14:textFill>
                  <w14:solidFill>
                    <w14:schemeClr w14:val="tx1"/>
                  </w14:solidFill>
                </w14:textFill>
              </w:rPr>
              <w:t>（</w:t>
            </w:r>
            <w:bookmarkEnd w:id="740"/>
            <w:r>
              <w:rPr>
                <w:rFonts w:hint="eastAsia" w:ascii="宋体" w:hAnsi="宋体" w:eastAsia="宋体" w:cs="宋体"/>
                <w:bCs/>
                <w:color w:val="000000" w:themeColor="text1"/>
                <w:szCs w:val="21"/>
                <w:highlight w:val="none"/>
                <w14:textFill>
                  <w14:solidFill>
                    <w14:schemeClr w14:val="tx1"/>
                  </w14:solidFill>
                </w14:textFill>
              </w:rPr>
              <w:t>2）质量保证措施描述较为合理、较为详尽、基本切实可行的得，基本满足采购项目的需要，得</w:t>
            </w:r>
            <w:r>
              <w:rPr>
                <w:rFonts w:hint="eastAsia" w:ascii="宋体" w:hAnsi="宋体" w:eastAsia="宋体" w:cs="宋体"/>
                <w:bCs/>
                <w:color w:val="000000" w:themeColor="text1"/>
                <w:szCs w:val="21"/>
                <w:highlight w:val="none"/>
                <w:lang w:val="en-US" w:eastAsia="zh-CN"/>
                <w14:textFill>
                  <w14:solidFill>
                    <w14:schemeClr w14:val="tx1"/>
                  </w14:solidFill>
                </w14:textFill>
              </w:rPr>
              <w:t>4</w:t>
            </w:r>
            <w:r>
              <w:rPr>
                <w:rFonts w:hint="eastAsia" w:ascii="宋体" w:hAnsi="宋体" w:eastAsia="宋体" w:cs="宋体"/>
                <w:bCs/>
                <w:color w:val="000000" w:themeColor="text1"/>
                <w:szCs w:val="21"/>
                <w:highlight w:val="none"/>
                <w14:textFill>
                  <w14:solidFill>
                    <w14:schemeClr w14:val="tx1"/>
                  </w14:solidFill>
                </w14:textFill>
              </w:rPr>
              <w:t>分；</w:t>
            </w:r>
          </w:p>
          <w:p w14:paraId="55CB350D">
            <w:pPr>
              <w:spacing w:line="360" w:lineRule="auto"/>
              <w:ind w:firstLine="350" w:firstLineChars="167"/>
              <w:rPr>
                <w:rFonts w:hint="eastAsia" w:ascii="宋体" w:hAnsi="宋体" w:eastAsia="宋体" w:cs="宋体"/>
                <w:color w:val="000000" w:themeColor="text1"/>
                <w:szCs w:val="21"/>
                <w:highlight w:val="none"/>
                <w14:textFill>
                  <w14:solidFill>
                    <w14:schemeClr w14:val="tx1"/>
                  </w14:solidFill>
                </w14:textFill>
              </w:rPr>
            </w:pPr>
            <w:bookmarkStart w:id="741" w:name="_Toc135648930"/>
            <w:r>
              <w:rPr>
                <w:rFonts w:hint="eastAsia" w:ascii="宋体" w:hAnsi="宋体" w:eastAsia="宋体" w:cs="宋体"/>
                <w:bCs/>
                <w:color w:val="000000" w:themeColor="text1"/>
                <w:szCs w:val="21"/>
                <w:highlight w:val="none"/>
                <w14:textFill>
                  <w14:solidFill>
                    <w14:schemeClr w14:val="tx1"/>
                  </w14:solidFill>
                </w14:textFill>
              </w:rPr>
              <w:t>（</w:t>
            </w:r>
            <w:bookmarkEnd w:id="741"/>
            <w:r>
              <w:rPr>
                <w:rFonts w:hint="eastAsia" w:ascii="宋体" w:hAnsi="宋体" w:eastAsia="宋体" w:cs="宋体"/>
                <w:bCs/>
                <w:color w:val="000000" w:themeColor="text1"/>
                <w:szCs w:val="21"/>
                <w:highlight w:val="none"/>
                <w14:textFill>
                  <w14:solidFill>
                    <w14:schemeClr w14:val="tx1"/>
                  </w14:solidFill>
                </w14:textFill>
              </w:rPr>
              <w:t>3）质量保证措施描述粗略，合理性、可行性差，有很多地方需要进一步完善的，得2分。</w:t>
            </w:r>
          </w:p>
        </w:tc>
      </w:tr>
      <w:tr w14:paraId="5A7079A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trPr>
        <w:tc>
          <w:tcPr>
            <w:tcW w:w="851" w:type="dxa"/>
            <w:vMerge w:val="continue"/>
            <w:tcBorders>
              <w:left w:val="single" w:color="auto" w:sz="4" w:space="0"/>
              <w:right w:val="single" w:color="auto" w:sz="4" w:space="0"/>
            </w:tcBorders>
            <w:noWrap w:val="0"/>
            <w:vAlign w:val="center"/>
          </w:tcPr>
          <w:p w14:paraId="70783AF6">
            <w:pPr>
              <w:widowControl/>
              <w:jc w:val="left"/>
              <w:rPr>
                <w:rFonts w:hint="eastAsia" w:ascii="宋体" w:hAnsi="宋体" w:eastAsia="宋体" w:cs="宋体"/>
                <w:b/>
                <w:color w:val="000000" w:themeColor="text1"/>
                <w:szCs w:val="21"/>
                <w:highlight w:val="none"/>
                <w14:textFill>
                  <w14:solidFill>
                    <w14:schemeClr w14:val="tx1"/>
                  </w14:solidFill>
                </w14:textFill>
              </w:rPr>
            </w:pPr>
          </w:p>
        </w:tc>
        <w:tc>
          <w:tcPr>
            <w:tcW w:w="1270" w:type="dxa"/>
            <w:gridSpan w:val="2"/>
            <w:vMerge w:val="continue"/>
            <w:tcBorders>
              <w:left w:val="single" w:color="auto" w:sz="4" w:space="0"/>
              <w:right w:val="single" w:color="auto" w:sz="4" w:space="0"/>
            </w:tcBorders>
            <w:noWrap w:val="0"/>
            <w:vAlign w:val="center"/>
          </w:tcPr>
          <w:p w14:paraId="71F3B3F1">
            <w:pPr>
              <w:widowControl/>
              <w:jc w:val="left"/>
              <w:rPr>
                <w:rFonts w:hint="eastAsia" w:ascii="宋体" w:hAnsi="宋体" w:eastAsia="宋体" w:cs="宋体"/>
                <w:b/>
                <w:color w:val="000000" w:themeColor="text1"/>
                <w:szCs w:val="21"/>
                <w:highlight w:val="none"/>
                <w14:textFill>
                  <w14:solidFill>
                    <w14:schemeClr w14:val="tx1"/>
                  </w14:solidFill>
                </w14:textFill>
              </w:rPr>
            </w:pPr>
          </w:p>
        </w:tc>
        <w:tc>
          <w:tcPr>
            <w:tcW w:w="2274" w:type="dxa"/>
            <w:tcBorders>
              <w:top w:val="single" w:color="auto" w:sz="4" w:space="0"/>
              <w:left w:val="single" w:color="auto" w:sz="4" w:space="0"/>
              <w:bottom w:val="single" w:color="auto" w:sz="4" w:space="0"/>
              <w:right w:val="single" w:color="auto" w:sz="4" w:space="0"/>
            </w:tcBorders>
            <w:noWrap w:val="0"/>
            <w:vAlign w:val="center"/>
          </w:tcPr>
          <w:p w14:paraId="52C6D300">
            <w:pPr>
              <w:spacing w:line="360" w:lineRule="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应急处理方案（</w:t>
            </w:r>
            <w:r>
              <w:rPr>
                <w:rFonts w:hint="eastAsia" w:ascii="宋体" w:hAnsi="宋体" w:eastAsia="宋体" w:cs="宋体"/>
                <w:b w:val="0"/>
                <w:bCs/>
                <w:color w:val="000000" w:themeColor="text1"/>
                <w:szCs w:val="21"/>
                <w:highlight w:val="none"/>
                <w:lang w:val="en-US" w:eastAsia="zh-CN"/>
                <w14:textFill>
                  <w14:solidFill>
                    <w14:schemeClr w14:val="tx1"/>
                  </w14:solidFill>
                </w14:textFill>
              </w:rPr>
              <w:t>6</w:t>
            </w:r>
            <w:r>
              <w:rPr>
                <w:rFonts w:hint="eastAsia" w:ascii="宋体" w:hAnsi="宋体" w:eastAsia="宋体" w:cs="宋体"/>
                <w:b w:val="0"/>
                <w:bCs/>
                <w:color w:val="000000" w:themeColor="text1"/>
                <w:szCs w:val="21"/>
                <w:highlight w:val="none"/>
                <w14:textFill>
                  <w14:solidFill>
                    <w14:schemeClr w14:val="tx1"/>
                  </w14:solidFill>
                </w14:textFill>
              </w:rPr>
              <w:t>分）</w:t>
            </w:r>
          </w:p>
        </w:tc>
        <w:tc>
          <w:tcPr>
            <w:tcW w:w="4961" w:type="dxa"/>
            <w:tcBorders>
              <w:top w:val="single" w:color="auto" w:sz="4" w:space="0"/>
              <w:left w:val="single" w:color="auto" w:sz="4" w:space="0"/>
              <w:bottom w:val="single" w:color="auto" w:sz="4" w:space="0"/>
              <w:right w:val="single" w:color="auto" w:sz="4" w:space="0"/>
            </w:tcBorders>
            <w:noWrap w:val="0"/>
            <w:vAlign w:val="center"/>
          </w:tcPr>
          <w:p w14:paraId="1EDB750B">
            <w:pPr>
              <w:spacing w:line="360" w:lineRule="auto"/>
              <w:ind w:firstLine="350" w:firstLineChars="167"/>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针对本项目应急处理能力，需针对本项目提供应急处理方案，至少包括：应急处理预案、应急处理流程、备机备件保障方案。</w:t>
            </w:r>
          </w:p>
          <w:p w14:paraId="66B71D55">
            <w:pPr>
              <w:spacing w:line="360" w:lineRule="auto"/>
              <w:ind w:firstLine="350" w:firstLineChars="167"/>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应急处理方案详尽、科学、可行性强，得</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分；</w:t>
            </w:r>
          </w:p>
          <w:p w14:paraId="104F7A1B">
            <w:pPr>
              <w:spacing w:line="360" w:lineRule="auto"/>
              <w:ind w:firstLine="350" w:firstLineChars="167"/>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应急处理方案完整、合理，得</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分；</w:t>
            </w:r>
          </w:p>
          <w:p w14:paraId="13A6464B">
            <w:pPr>
              <w:spacing w:line="360" w:lineRule="auto"/>
              <w:ind w:firstLine="350" w:firstLineChars="167"/>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有基本的应急处理方案，得</w:t>
            </w: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分。</w:t>
            </w:r>
          </w:p>
        </w:tc>
      </w:tr>
      <w:tr w14:paraId="29CEC25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trPr>
        <w:tc>
          <w:tcPr>
            <w:tcW w:w="851" w:type="dxa"/>
            <w:vMerge w:val="restart"/>
            <w:tcBorders>
              <w:left w:val="single" w:color="auto" w:sz="4" w:space="0"/>
              <w:right w:val="single" w:color="auto" w:sz="4" w:space="0"/>
            </w:tcBorders>
            <w:noWrap w:val="0"/>
            <w:vAlign w:val="center"/>
          </w:tcPr>
          <w:p w14:paraId="49219891">
            <w:pPr>
              <w:spacing w:line="360" w:lineRule="auto"/>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Cs w:val="21"/>
                <w:highlight w:val="none"/>
                <w:lang w:val="en-US" w:eastAsia="zh-CN"/>
                <w14:textFill>
                  <w14:solidFill>
                    <w14:schemeClr w14:val="tx1"/>
                  </w14:solidFill>
                </w14:textFill>
              </w:rPr>
              <w:t>4.3</w:t>
            </w:r>
          </w:p>
        </w:tc>
        <w:tc>
          <w:tcPr>
            <w:tcW w:w="1270" w:type="dxa"/>
            <w:gridSpan w:val="2"/>
            <w:vMerge w:val="restart"/>
            <w:tcBorders>
              <w:left w:val="single" w:color="auto" w:sz="4" w:space="0"/>
              <w:right w:val="single" w:color="auto" w:sz="4" w:space="0"/>
            </w:tcBorders>
            <w:noWrap w:val="0"/>
            <w:vAlign w:val="center"/>
          </w:tcPr>
          <w:p w14:paraId="48472FF6">
            <w:pPr>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综合部分</w:t>
            </w:r>
            <w:r>
              <w:rPr>
                <w:rFonts w:hint="eastAsia" w:ascii="宋体" w:hAnsi="宋体" w:eastAsia="宋体" w:cs="宋体"/>
                <w:b/>
                <w:color w:val="000000" w:themeColor="text1"/>
                <w:szCs w:val="21"/>
                <w:highlight w:val="none"/>
                <w14:textFill>
                  <w14:solidFill>
                    <w14:schemeClr w14:val="tx1"/>
                  </w14:solidFill>
                </w14:textFill>
              </w:rPr>
              <w:t>（</w:t>
            </w:r>
            <w:r>
              <w:rPr>
                <w:rFonts w:hint="eastAsia" w:ascii="宋体" w:hAnsi="宋体" w:eastAsia="宋体" w:cs="宋体"/>
                <w:b/>
                <w:color w:val="000000" w:themeColor="text1"/>
                <w:szCs w:val="21"/>
                <w:highlight w:val="none"/>
                <w:lang w:val="en-US" w:eastAsia="zh-CN"/>
                <w14:textFill>
                  <w14:solidFill>
                    <w14:schemeClr w14:val="tx1"/>
                  </w14:solidFill>
                </w14:textFill>
              </w:rPr>
              <w:t>10</w:t>
            </w:r>
            <w:r>
              <w:rPr>
                <w:rFonts w:hint="eastAsia" w:ascii="宋体" w:hAnsi="宋体" w:eastAsia="宋体" w:cs="宋体"/>
                <w:b/>
                <w:color w:val="000000" w:themeColor="text1"/>
                <w:szCs w:val="21"/>
                <w:highlight w:val="none"/>
                <w14:textFill>
                  <w14:solidFill>
                    <w14:schemeClr w14:val="tx1"/>
                  </w14:solidFill>
                </w14:textFill>
              </w:rPr>
              <w:t>分）</w:t>
            </w:r>
          </w:p>
        </w:tc>
        <w:tc>
          <w:tcPr>
            <w:tcW w:w="2274" w:type="dxa"/>
            <w:tcBorders>
              <w:top w:val="single" w:color="auto" w:sz="4" w:space="0"/>
              <w:left w:val="single" w:color="auto" w:sz="4" w:space="0"/>
              <w:bottom w:val="single" w:color="auto" w:sz="4" w:space="0"/>
              <w:right w:val="single" w:color="auto" w:sz="4" w:space="0"/>
            </w:tcBorders>
            <w:noWrap w:val="0"/>
            <w:vAlign w:val="center"/>
          </w:tcPr>
          <w:p w14:paraId="68E0EAC1">
            <w:pPr>
              <w:snapToGrid w:val="0"/>
              <w:spacing w:line="360" w:lineRule="auto"/>
              <w:jc w:val="center"/>
              <w:rPr>
                <w:rFonts w:hint="eastAsia" w:ascii="宋体" w:hAnsi="宋体" w:eastAsia="宋体" w:cs="宋体"/>
                <w:b w:val="0"/>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Times New Roman"/>
                <w:b w:val="0"/>
                <w:bCs/>
                <w:color w:val="000000" w:themeColor="text1"/>
                <w:sz w:val="21"/>
                <w:highlight w:val="none"/>
                <w:lang w:eastAsia="zh-CN"/>
                <w14:textFill>
                  <w14:solidFill>
                    <w14:schemeClr w14:val="tx1"/>
                  </w14:solidFill>
                </w14:textFill>
              </w:rPr>
              <w:t>落实绿色产品(1分)</w:t>
            </w:r>
          </w:p>
        </w:tc>
        <w:tc>
          <w:tcPr>
            <w:tcW w:w="4961" w:type="dxa"/>
            <w:tcBorders>
              <w:top w:val="single" w:color="auto" w:sz="4" w:space="0"/>
              <w:left w:val="single" w:color="auto" w:sz="4" w:space="0"/>
              <w:bottom w:val="single" w:color="auto" w:sz="4" w:space="0"/>
              <w:right w:val="single" w:color="auto" w:sz="4" w:space="0"/>
            </w:tcBorders>
            <w:noWrap w:val="0"/>
            <w:vAlign w:val="center"/>
          </w:tcPr>
          <w:p w14:paraId="752013B8">
            <w:pPr>
              <w:numPr>
                <w:ilvl w:val="0"/>
                <w:numId w:val="0"/>
              </w:numPr>
              <w:snapToGrid w:val="0"/>
              <w:spacing w:line="360" w:lineRule="auto"/>
              <w:ind w:left="0" w:leftChars="0" w:firstLine="420" w:firstLineChars="200"/>
              <w:jc w:val="left"/>
              <w:rPr>
                <w:rFonts w:hint="eastAsia" w:ascii="宋体" w:hAnsi="Times New Roman" w:eastAsia="宋体" w:cs="Times New Roman"/>
                <w:color w:val="000000" w:themeColor="text1"/>
                <w:sz w:val="21"/>
                <w:highlight w:val="none"/>
                <w:lang w:val="en-US" w:eastAsia="zh-CN"/>
                <w14:textFill>
                  <w14:solidFill>
                    <w14:schemeClr w14:val="tx1"/>
                  </w14:solidFill>
                </w14:textFill>
              </w:rPr>
            </w:pPr>
            <w:r>
              <w:rPr>
                <w:rFonts w:hint="eastAsia" w:ascii="宋体" w:hAnsi="Times New Roman" w:eastAsia="宋体" w:cs="Times New Roman"/>
                <w:color w:val="000000" w:themeColor="text1"/>
                <w:sz w:val="21"/>
                <w:highlight w:val="none"/>
                <w:lang w:val="en-US" w:eastAsia="zh-CN"/>
                <w14:textFill>
                  <w14:solidFill>
                    <w14:schemeClr w14:val="tx1"/>
                  </w14:solidFill>
                </w14:textFill>
              </w:rPr>
              <w:t xml:space="preserve">1、投标人所投货物在节能产品政府采购品目清单内的（强制采购产品除外 </w:t>
            </w:r>
            <w:r>
              <w:rPr>
                <w:rFonts w:hint="eastAsia" w:ascii="宋体" w:hAnsi="Times New Roman" w:cs="Times New Roman"/>
                <w:color w:val="000000" w:themeColor="text1"/>
                <w:sz w:val="21"/>
                <w:highlight w:val="none"/>
                <w:lang w:val="en-US" w:eastAsia="zh-CN"/>
                <w14:textFill>
                  <w14:solidFill>
                    <w14:schemeClr w14:val="tx1"/>
                  </w14:solidFill>
                </w14:textFill>
              </w:rPr>
              <w:t>）</w:t>
            </w:r>
            <w:r>
              <w:rPr>
                <w:rFonts w:hint="eastAsia" w:ascii="宋体" w:hAnsi="Times New Roman" w:eastAsia="宋体" w:cs="Times New Roman"/>
                <w:color w:val="000000" w:themeColor="text1"/>
                <w:sz w:val="21"/>
                <w:highlight w:val="none"/>
                <w:lang w:val="en-US" w:eastAsia="zh-CN"/>
                <w14:textFill>
                  <w14:solidFill>
                    <w14:schemeClr w14:val="tx1"/>
                  </w14:solidFill>
                </w14:textFill>
              </w:rPr>
              <w:t>提供具有国家确定的认证机构出具的、处于有效期之内的节能产品认证证书原件扫描件的得0.5分，如没有不得分。</w:t>
            </w:r>
          </w:p>
          <w:p w14:paraId="69E55449">
            <w:pPr>
              <w:numPr>
                <w:ilvl w:val="0"/>
                <w:numId w:val="0"/>
              </w:numPr>
              <w:snapToGrid w:val="0"/>
              <w:spacing w:line="360" w:lineRule="auto"/>
              <w:ind w:left="0" w:leftChars="0" w:firstLine="420" w:firstLineChars="200"/>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highlight w:val="none"/>
                <w:lang w:val="en-US" w:eastAsia="zh-CN"/>
                <w14:textFill>
                  <w14:solidFill>
                    <w14:schemeClr w14:val="tx1"/>
                  </w14:solidFill>
                </w14:textFill>
              </w:rPr>
              <w:t>2、投标人所投货物在环境标志产品品目清单内的，提供具有国家确定的认证机构出具的、处于有效期之内的环境标志产品认证证书原件扫描件的得0.5分，如没有不得分。</w:t>
            </w:r>
          </w:p>
        </w:tc>
      </w:tr>
      <w:tr w14:paraId="2686A80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trPr>
        <w:tc>
          <w:tcPr>
            <w:tcW w:w="851" w:type="dxa"/>
            <w:vMerge w:val="continue"/>
            <w:tcBorders>
              <w:left w:val="single" w:color="auto" w:sz="4" w:space="0"/>
              <w:right w:val="single" w:color="auto" w:sz="4" w:space="0"/>
            </w:tcBorders>
            <w:noWrap w:val="0"/>
            <w:vAlign w:val="center"/>
          </w:tcPr>
          <w:p w14:paraId="411F7B49">
            <w:pPr>
              <w:spacing w:line="360" w:lineRule="auto"/>
              <w:jc w:val="center"/>
              <w:rPr>
                <w:rFonts w:hint="eastAsia" w:ascii="宋体" w:hAnsi="宋体" w:eastAsia="宋体" w:cs="宋体"/>
                <w:b/>
                <w:color w:val="000000" w:themeColor="text1"/>
                <w:szCs w:val="21"/>
                <w:highlight w:val="none"/>
                <w:lang w:val="en-US" w:eastAsia="zh-CN"/>
                <w14:textFill>
                  <w14:solidFill>
                    <w14:schemeClr w14:val="tx1"/>
                  </w14:solidFill>
                </w14:textFill>
              </w:rPr>
            </w:pPr>
          </w:p>
        </w:tc>
        <w:tc>
          <w:tcPr>
            <w:tcW w:w="1270" w:type="dxa"/>
            <w:gridSpan w:val="2"/>
            <w:vMerge w:val="continue"/>
            <w:tcBorders>
              <w:left w:val="single" w:color="auto" w:sz="4" w:space="0"/>
              <w:right w:val="single" w:color="auto" w:sz="4" w:space="0"/>
            </w:tcBorders>
            <w:noWrap w:val="0"/>
            <w:vAlign w:val="center"/>
          </w:tcPr>
          <w:p w14:paraId="3D56A543">
            <w:pPr>
              <w:jc w:val="center"/>
              <w:rPr>
                <w:rFonts w:hint="eastAsia" w:ascii="宋体" w:hAnsi="宋体" w:eastAsia="宋体" w:cs="宋体"/>
                <w:b/>
                <w:color w:val="000000" w:themeColor="text1"/>
                <w:szCs w:val="21"/>
                <w:highlight w:val="none"/>
                <w:lang w:eastAsia="zh-CN"/>
                <w14:textFill>
                  <w14:solidFill>
                    <w14:schemeClr w14:val="tx1"/>
                  </w14:solidFill>
                </w14:textFill>
              </w:rPr>
            </w:pPr>
          </w:p>
        </w:tc>
        <w:tc>
          <w:tcPr>
            <w:tcW w:w="2274" w:type="dxa"/>
            <w:tcBorders>
              <w:top w:val="single" w:color="auto" w:sz="4" w:space="0"/>
              <w:left w:val="single" w:color="auto" w:sz="4" w:space="0"/>
              <w:bottom w:val="single" w:color="auto" w:sz="4" w:space="0"/>
              <w:right w:val="single" w:color="auto" w:sz="4" w:space="0"/>
            </w:tcBorders>
            <w:noWrap w:val="0"/>
            <w:vAlign w:val="center"/>
          </w:tcPr>
          <w:p w14:paraId="6B7803A1">
            <w:pPr>
              <w:spacing w:line="360" w:lineRule="auto"/>
              <w:jc w:val="center"/>
              <w:rPr>
                <w:rFonts w:hint="eastAsia" w:ascii="宋体" w:hAnsi="宋体" w:eastAsia="宋体" w:cs="宋体"/>
                <w:b w:val="0"/>
                <w:bCs/>
                <w:color w:val="000000" w:themeColor="text1"/>
                <w:kern w:val="0"/>
                <w:szCs w:val="21"/>
                <w:highlight w:val="none"/>
                <w14:textFill>
                  <w14:solidFill>
                    <w14:schemeClr w14:val="tx1"/>
                  </w14:solidFill>
                </w14:textFill>
              </w:rPr>
            </w:pPr>
            <w:r>
              <w:rPr>
                <w:rFonts w:hint="eastAsia" w:ascii="宋体" w:hAnsi="宋体" w:eastAsia="宋体" w:cs="宋体"/>
                <w:b w:val="0"/>
                <w:bCs/>
                <w:color w:val="000000" w:themeColor="text1"/>
                <w:kern w:val="0"/>
                <w:szCs w:val="21"/>
                <w:highlight w:val="none"/>
                <w14:textFill>
                  <w14:solidFill>
                    <w14:schemeClr w14:val="tx1"/>
                  </w14:solidFill>
                </w14:textFill>
              </w:rPr>
              <w:t>售后服务方案</w:t>
            </w:r>
          </w:p>
          <w:p w14:paraId="0284DEBC">
            <w:pPr>
              <w:snapToGrid w:val="0"/>
              <w:spacing w:line="360" w:lineRule="auto"/>
              <w:jc w:val="center"/>
              <w:rPr>
                <w:rFonts w:hint="eastAsia" w:ascii="宋体" w:hAnsi="宋体" w:eastAsia="宋体" w:cs="Times New Roman"/>
                <w:b w:val="0"/>
                <w:bCs/>
                <w:color w:val="000000" w:themeColor="text1"/>
                <w:sz w:val="21"/>
                <w:highlight w:val="none"/>
                <w:lang w:eastAsia="zh-CN"/>
                <w14:textFill>
                  <w14:solidFill>
                    <w14:schemeClr w14:val="tx1"/>
                  </w14:solidFill>
                </w14:textFill>
              </w:rPr>
            </w:pPr>
            <w:r>
              <w:rPr>
                <w:rFonts w:hint="eastAsia" w:ascii="宋体" w:hAnsi="宋体" w:eastAsia="宋体" w:cs="宋体"/>
                <w:b w:val="0"/>
                <w:bCs/>
                <w:color w:val="000000" w:themeColor="text1"/>
                <w:kern w:val="0"/>
                <w:sz w:val="21"/>
                <w:szCs w:val="22"/>
                <w:highlight w:val="none"/>
                <w14:textFill>
                  <w14:solidFill>
                    <w14:schemeClr w14:val="tx1"/>
                  </w14:solidFill>
                </w14:textFill>
              </w:rPr>
              <w:t>（</w:t>
            </w:r>
            <w:r>
              <w:rPr>
                <w:rFonts w:hint="eastAsia" w:ascii="宋体" w:hAnsi="宋体" w:cs="宋体"/>
                <w:b w:val="0"/>
                <w:bCs/>
                <w:color w:val="000000" w:themeColor="text1"/>
                <w:kern w:val="0"/>
                <w:sz w:val="21"/>
                <w:szCs w:val="22"/>
                <w:highlight w:val="none"/>
                <w:lang w:val="en-US" w:eastAsia="zh-CN"/>
                <w14:textFill>
                  <w14:solidFill>
                    <w14:schemeClr w14:val="tx1"/>
                  </w14:solidFill>
                </w14:textFill>
              </w:rPr>
              <w:t>9</w:t>
            </w:r>
            <w:r>
              <w:rPr>
                <w:rFonts w:hint="eastAsia" w:ascii="宋体" w:hAnsi="宋体" w:eastAsia="宋体" w:cs="宋体"/>
                <w:b w:val="0"/>
                <w:bCs/>
                <w:color w:val="000000" w:themeColor="text1"/>
                <w:kern w:val="0"/>
                <w:sz w:val="21"/>
                <w:szCs w:val="22"/>
                <w:highlight w:val="none"/>
                <w14:textFill>
                  <w14:solidFill>
                    <w14:schemeClr w14:val="tx1"/>
                  </w14:solidFill>
                </w14:textFill>
              </w:rPr>
              <w:t>分）</w:t>
            </w:r>
          </w:p>
        </w:tc>
        <w:tc>
          <w:tcPr>
            <w:tcW w:w="4961" w:type="dxa"/>
            <w:tcBorders>
              <w:top w:val="single" w:color="auto" w:sz="4" w:space="0"/>
              <w:left w:val="single" w:color="auto" w:sz="4" w:space="0"/>
              <w:bottom w:val="single" w:color="auto" w:sz="4" w:space="0"/>
              <w:right w:val="single" w:color="auto" w:sz="4" w:space="0"/>
            </w:tcBorders>
            <w:noWrap w:val="0"/>
            <w:vAlign w:val="center"/>
          </w:tcPr>
          <w:p w14:paraId="0DFE3DFA">
            <w:pPr>
              <w:numPr>
                <w:ilvl w:val="0"/>
                <w:numId w:val="0"/>
              </w:numPr>
              <w:snapToGrid w:val="0"/>
              <w:spacing w:line="360" w:lineRule="auto"/>
              <w:ind w:left="0" w:leftChars="0" w:firstLine="420" w:firstLineChars="200"/>
              <w:jc w:val="left"/>
              <w:rPr>
                <w:rFonts w:hint="eastAsia" w:ascii="宋体" w:hAnsi="Times New Roman" w:eastAsia="宋体" w:cs="Times New Roman"/>
                <w:color w:val="000000" w:themeColor="text1"/>
                <w:sz w:val="21"/>
                <w:highlight w:val="none"/>
                <w:lang w:val="zh-CN" w:eastAsia="zh-CN"/>
                <w14:textFill>
                  <w14:solidFill>
                    <w14:schemeClr w14:val="tx1"/>
                  </w14:solidFill>
                </w14:textFill>
              </w:rPr>
            </w:pPr>
            <w:r>
              <w:rPr>
                <w:rFonts w:hint="eastAsia" w:ascii="宋体" w:hAnsi="Times New Roman" w:eastAsia="宋体" w:cs="Times New Roman"/>
                <w:color w:val="000000" w:themeColor="text1"/>
                <w:sz w:val="21"/>
                <w:highlight w:val="none"/>
                <w:lang w:val="zh-CN" w:eastAsia="zh-CN"/>
                <w14:textFill>
                  <w14:solidFill>
                    <w14:schemeClr w14:val="tx1"/>
                  </w14:solidFill>
                </w14:textFill>
              </w:rPr>
              <w:t>根据投标人所提供售后服务</w:t>
            </w:r>
            <w:r>
              <w:rPr>
                <w:rFonts w:hint="eastAsia" w:ascii="宋体" w:hAnsi="Times New Roman" w:eastAsia="宋体" w:cs="Times New Roman"/>
                <w:color w:val="000000" w:themeColor="text1"/>
                <w:sz w:val="21"/>
                <w:highlight w:val="none"/>
                <w:lang w:val="en-US" w:eastAsia="zh-CN"/>
                <w14:textFill>
                  <w14:solidFill>
                    <w14:schemeClr w14:val="tx1"/>
                  </w14:solidFill>
                </w14:textFill>
              </w:rPr>
              <w:t>承诺及</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方案、培训</w:t>
            </w:r>
            <w:r>
              <w:rPr>
                <w:rFonts w:hint="eastAsia" w:ascii="宋体" w:hAnsi="Times New Roman" w:eastAsia="宋体" w:cs="Times New Roman"/>
                <w:color w:val="000000" w:themeColor="text1"/>
                <w:sz w:val="21"/>
                <w:highlight w:val="none"/>
                <w:lang w:val="en-US" w:eastAsia="zh-CN"/>
                <w14:textFill>
                  <w14:solidFill>
                    <w14:schemeClr w14:val="tx1"/>
                  </w14:solidFill>
                </w14:textFill>
              </w:rPr>
              <w:t>方案</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、技术人员配备、维修维护响应时间及其它优惠等进行评审：</w:t>
            </w:r>
          </w:p>
          <w:p w14:paraId="548FFBFB">
            <w:pPr>
              <w:numPr>
                <w:ilvl w:val="0"/>
                <w:numId w:val="0"/>
              </w:numPr>
              <w:snapToGrid w:val="0"/>
              <w:spacing w:line="360" w:lineRule="auto"/>
              <w:ind w:left="0" w:leftChars="0" w:firstLine="420" w:firstLineChars="200"/>
              <w:jc w:val="left"/>
              <w:rPr>
                <w:rFonts w:hint="eastAsia" w:ascii="宋体" w:hAnsi="Times New Roman" w:eastAsia="宋体" w:cs="Times New Roman"/>
                <w:color w:val="000000" w:themeColor="text1"/>
                <w:sz w:val="21"/>
                <w:highlight w:val="none"/>
                <w:lang w:val="zh-CN" w:eastAsia="zh-CN"/>
                <w14:textFill>
                  <w14:solidFill>
                    <w14:schemeClr w14:val="tx1"/>
                  </w14:solidFill>
                </w14:textFill>
              </w:rPr>
            </w:pPr>
            <w:r>
              <w:rPr>
                <w:rFonts w:hint="eastAsia" w:ascii="宋体" w:hAnsi="Times New Roman" w:eastAsia="宋体" w:cs="Times New Roman"/>
                <w:color w:val="000000" w:themeColor="text1"/>
                <w:sz w:val="21"/>
                <w:highlight w:val="none"/>
                <w:lang w:val="en-US" w:eastAsia="zh-CN"/>
                <w14:textFill>
                  <w14:solidFill>
                    <w14:schemeClr w14:val="tx1"/>
                  </w14:solidFill>
                </w14:textFill>
              </w:rPr>
              <w:t>1、</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售后服务</w:t>
            </w:r>
            <w:r>
              <w:rPr>
                <w:rFonts w:hint="eastAsia" w:ascii="宋体" w:hAnsi="Times New Roman" w:eastAsia="宋体" w:cs="Times New Roman"/>
                <w:color w:val="000000" w:themeColor="text1"/>
                <w:sz w:val="21"/>
                <w:highlight w:val="none"/>
                <w:lang w:val="en-US" w:eastAsia="zh-CN"/>
                <w14:textFill>
                  <w14:solidFill>
                    <w14:schemeClr w14:val="tx1"/>
                  </w14:solidFill>
                </w14:textFill>
              </w:rPr>
              <w:t>承诺及</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方案措施内容详实完善、条理清晰，培训</w:t>
            </w:r>
            <w:r>
              <w:rPr>
                <w:rFonts w:hint="eastAsia" w:ascii="宋体" w:hAnsi="Times New Roman" w:eastAsia="宋体" w:cs="Times New Roman"/>
                <w:color w:val="000000" w:themeColor="text1"/>
                <w:sz w:val="21"/>
                <w:highlight w:val="none"/>
                <w:lang w:val="en-US" w:eastAsia="zh-CN"/>
                <w14:textFill>
                  <w14:solidFill>
                    <w14:schemeClr w14:val="tx1"/>
                  </w14:solidFill>
                </w14:textFill>
              </w:rPr>
              <w:t>方案</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的内容及方式合理、针对性强，专业售后服务技术人员配备齐全得</w:t>
            </w:r>
            <w:r>
              <w:rPr>
                <w:rFonts w:hint="eastAsia" w:ascii="宋体" w:cs="Times New Roman"/>
                <w:color w:val="000000" w:themeColor="text1"/>
                <w:sz w:val="21"/>
                <w:highlight w:val="none"/>
                <w:lang w:val="en-US" w:eastAsia="zh-CN"/>
                <w14:textFill>
                  <w14:solidFill>
                    <w14:schemeClr w14:val="tx1"/>
                  </w14:solidFill>
                </w14:textFill>
              </w:rPr>
              <w:t>9</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分；</w:t>
            </w:r>
          </w:p>
          <w:p w14:paraId="438D05F7">
            <w:pPr>
              <w:numPr>
                <w:ilvl w:val="0"/>
                <w:numId w:val="0"/>
              </w:numPr>
              <w:snapToGrid w:val="0"/>
              <w:spacing w:line="360" w:lineRule="auto"/>
              <w:ind w:left="0" w:leftChars="0" w:firstLine="420" w:firstLineChars="200"/>
              <w:jc w:val="left"/>
              <w:rPr>
                <w:rFonts w:hint="eastAsia" w:ascii="宋体" w:hAnsi="Times New Roman" w:eastAsia="宋体" w:cs="Times New Roman"/>
                <w:color w:val="000000" w:themeColor="text1"/>
                <w:sz w:val="21"/>
                <w:highlight w:val="none"/>
                <w:lang w:val="zh-CN" w:eastAsia="zh-CN"/>
                <w14:textFill>
                  <w14:solidFill>
                    <w14:schemeClr w14:val="tx1"/>
                  </w14:solidFill>
                </w14:textFill>
              </w:rPr>
            </w:pPr>
            <w:r>
              <w:rPr>
                <w:rFonts w:hint="eastAsia" w:ascii="宋体" w:hAnsi="Times New Roman" w:eastAsia="宋体" w:cs="Times New Roman"/>
                <w:color w:val="000000" w:themeColor="text1"/>
                <w:sz w:val="21"/>
                <w:highlight w:val="none"/>
                <w:lang w:val="en-US" w:eastAsia="zh-CN"/>
                <w14:textFill>
                  <w14:solidFill>
                    <w14:schemeClr w14:val="tx1"/>
                  </w14:solidFill>
                </w14:textFill>
              </w:rPr>
              <w:t>2、</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售后服务</w:t>
            </w:r>
            <w:r>
              <w:rPr>
                <w:rFonts w:hint="eastAsia" w:ascii="宋体" w:hAnsi="Times New Roman" w:eastAsia="宋体" w:cs="Times New Roman"/>
                <w:color w:val="000000" w:themeColor="text1"/>
                <w:sz w:val="21"/>
                <w:highlight w:val="none"/>
                <w:lang w:val="en-US" w:eastAsia="zh-CN"/>
                <w14:textFill>
                  <w14:solidFill>
                    <w14:schemeClr w14:val="tx1"/>
                  </w14:solidFill>
                </w14:textFill>
              </w:rPr>
              <w:t>承诺及</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方案措施内容较详实完善，培训</w:t>
            </w:r>
            <w:r>
              <w:rPr>
                <w:rFonts w:hint="eastAsia" w:ascii="宋体" w:hAnsi="Times New Roman" w:eastAsia="宋体" w:cs="Times New Roman"/>
                <w:color w:val="000000" w:themeColor="text1"/>
                <w:sz w:val="21"/>
                <w:highlight w:val="none"/>
                <w:lang w:val="en-US" w:eastAsia="zh-CN"/>
                <w14:textFill>
                  <w14:solidFill>
                    <w14:schemeClr w14:val="tx1"/>
                  </w14:solidFill>
                </w14:textFill>
              </w:rPr>
              <w:t>方案</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的内容及方式较合理、针对性较强，专业售后服务技术人员配备较齐全得</w:t>
            </w:r>
            <w:r>
              <w:rPr>
                <w:rFonts w:hint="eastAsia" w:ascii="宋体" w:cs="Times New Roman"/>
                <w:color w:val="000000" w:themeColor="text1"/>
                <w:sz w:val="21"/>
                <w:highlight w:val="none"/>
                <w:lang w:val="en-US" w:eastAsia="zh-CN"/>
                <w14:textFill>
                  <w14:solidFill>
                    <w14:schemeClr w14:val="tx1"/>
                  </w14:solidFill>
                </w14:textFill>
              </w:rPr>
              <w:t>6</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分；</w:t>
            </w:r>
          </w:p>
          <w:p w14:paraId="05ACB555">
            <w:pPr>
              <w:numPr>
                <w:ilvl w:val="0"/>
                <w:numId w:val="0"/>
              </w:numPr>
              <w:snapToGrid w:val="0"/>
              <w:spacing w:line="360" w:lineRule="auto"/>
              <w:ind w:left="0" w:leftChars="0" w:firstLine="420" w:firstLineChars="200"/>
              <w:jc w:val="left"/>
              <w:rPr>
                <w:rFonts w:hint="eastAsia" w:ascii="宋体" w:hAnsi="Times New Roman" w:eastAsia="宋体" w:cs="Times New Roman"/>
                <w:color w:val="000000" w:themeColor="text1"/>
                <w:sz w:val="21"/>
                <w:highlight w:val="none"/>
                <w:lang w:val="zh-CN" w:eastAsia="zh-CN"/>
                <w14:textFill>
                  <w14:solidFill>
                    <w14:schemeClr w14:val="tx1"/>
                  </w14:solidFill>
                </w14:textFill>
              </w:rPr>
            </w:pPr>
            <w:r>
              <w:rPr>
                <w:rFonts w:hint="eastAsia" w:ascii="宋体" w:cs="Times New Roman"/>
                <w:color w:val="000000" w:themeColor="text1"/>
                <w:sz w:val="21"/>
                <w:highlight w:val="none"/>
                <w:lang w:val="en-US" w:eastAsia="zh-CN"/>
                <w14:textFill>
                  <w14:solidFill>
                    <w14:schemeClr w14:val="tx1"/>
                  </w14:solidFill>
                </w14:textFill>
              </w:rPr>
              <w:t>3</w:t>
            </w:r>
            <w:r>
              <w:rPr>
                <w:rFonts w:hint="eastAsia" w:ascii="宋体" w:hAnsi="Times New Roman" w:eastAsia="宋体" w:cs="Times New Roman"/>
                <w:color w:val="000000" w:themeColor="text1"/>
                <w:sz w:val="21"/>
                <w:highlight w:val="none"/>
                <w:lang w:val="en-US" w:eastAsia="zh-CN"/>
                <w14:textFill>
                  <w14:solidFill>
                    <w14:schemeClr w14:val="tx1"/>
                  </w14:solidFill>
                </w14:textFill>
              </w:rPr>
              <w:t>、</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售后服务</w:t>
            </w:r>
            <w:r>
              <w:rPr>
                <w:rFonts w:hint="eastAsia" w:ascii="宋体" w:hAnsi="Times New Roman" w:eastAsia="宋体" w:cs="Times New Roman"/>
                <w:color w:val="000000" w:themeColor="text1"/>
                <w:sz w:val="21"/>
                <w:highlight w:val="none"/>
                <w:lang w:val="en-US" w:eastAsia="zh-CN"/>
                <w14:textFill>
                  <w14:solidFill>
                    <w14:schemeClr w14:val="tx1"/>
                  </w14:solidFill>
                </w14:textFill>
              </w:rPr>
              <w:t>承诺及</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方案措施内容完善</w:t>
            </w:r>
            <w:r>
              <w:rPr>
                <w:rFonts w:hint="eastAsia" w:ascii="宋体" w:cs="Times New Roman"/>
                <w:color w:val="000000" w:themeColor="text1"/>
                <w:sz w:val="21"/>
                <w:highlight w:val="none"/>
                <w:lang w:val="en-US" w:eastAsia="zh-CN"/>
                <w14:textFill>
                  <w14:solidFill>
                    <w14:schemeClr w14:val="tx1"/>
                  </w14:solidFill>
                </w14:textFill>
              </w:rPr>
              <w:t>性一般</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，培训</w:t>
            </w:r>
            <w:r>
              <w:rPr>
                <w:rFonts w:hint="eastAsia" w:ascii="宋体" w:hAnsi="Times New Roman" w:eastAsia="宋体" w:cs="Times New Roman"/>
                <w:color w:val="000000" w:themeColor="text1"/>
                <w:sz w:val="21"/>
                <w:highlight w:val="none"/>
                <w:lang w:val="en-US" w:eastAsia="zh-CN"/>
                <w14:textFill>
                  <w14:solidFill>
                    <w14:schemeClr w14:val="tx1"/>
                  </w14:solidFill>
                </w14:textFill>
              </w:rPr>
              <w:t>方案</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的内容及方式合理</w:t>
            </w:r>
            <w:r>
              <w:rPr>
                <w:rFonts w:hint="eastAsia" w:ascii="宋体" w:cs="Times New Roman"/>
                <w:color w:val="000000" w:themeColor="text1"/>
                <w:sz w:val="21"/>
                <w:highlight w:val="none"/>
                <w:lang w:val="en-US" w:eastAsia="zh-CN"/>
                <w14:textFill>
                  <w14:solidFill>
                    <w14:schemeClr w14:val="tx1"/>
                  </w14:solidFill>
                </w14:textFill>
              </w:rPr>
              <w:t>性一般</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、针对性</w:t>
            </w:r>
            <w:r>
              <w:rPr>
                <w:rFonts w:hint="eastAsia" w:ascii="宋体" w:cs="Times New Roman"/>
                <w:color w:val="000000" w:themeColor="text1"/>
                <w:sz w:val="21"/>
                <w:highlight w:val="none"/>
                <w:lang w:val="en-US" w:eastAsia="zh-CN"/>
                <w14:textFill>
                  <w14:solidFill>
                    <w14:schemeClr w14:val="tx1"/>
                  </w14:solidFill>
                </w14:textFill>
              </w:rPr>
              <w:t>一般</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，专业售后服务技术人员配备</w:t>
            </w:r>
            <w:r>
              <w:rPr>
                <w:rFonts w:hint="eastAsia" w:ascii="宋体" w:cs="Times New Roman"/>
                <w:color w:val="000000" w:themeColor="text1"/>
                <w:sz w:val="21"/>
                <w:highlight w:val="none"/>
                <w:lang w:val="en-US" w:eastAsia="zh-CN"/>
                <w14:textFill>
                  <w14:solidFill>
                    <w14:schemeClr w14:val="tx1"/>
                  </w14:solidFill>
                </w14:textFill>
              </w:rPr>
              <w:t>基本</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齐全得</w:t>
            </w:r>
            <w:r>
              <w:rPr>
                <w:rFonts w:hint="eastAsia" w:ascii="宋体" w:cs="Times New Roman"/>
                <w:color w:val="000000" w:themeColor="text1"/>
                <w:sz w:val="21"/>
                <w:highlight w:val="none"/>
                <w:lang w:val="en-US" w:eastAsia="zh-CN"/>
                <w14:textFill>
                  <w14:solidFill>
                    <w14:schemeClr w14:val="tx1"/>
                  </w14:solidFill>
                </w14:textFill>
              </w:rPr>
              <w:t>3</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分；</w:t>
            </w:r>
          </w:p>
          <w:p w14:paraId="28A93DF1">
            <w:pPr>
              <w:numPr>
                <w:ilvl w:val="0"/>
                <w:numId w:val="0"/>
              </w:numPr>
              <w:snapToGrid w:val="0"/>
              <w:spacing w:line="360" w:lineRule="auto"/>
              <w:ind w:left="0" w:leftChars="0" w:firstLine="420" w:firstLineChars="200"/>
              <w:jc w:val="left"/>
              <w:rPr>
                <w:rFonts w:hint="eastAsia" w:ascii="宋体" w:hAnsi="Times New Roman" w:eastAsia="宋体" w:cs="Times New Roman"/>
                <w:color w:val="000000" w:themeColor="text1"/>
                <w:sz w:val="21"/>
                <w:highlight w:val="none"/>
                <w:lang w:val="en-US" w:eastAsia="zh-CN"/>
                <w14:textFill>
                  <w14:solidFill>
                    <w14:schemeClr w14:val="tx1"/>
                  </w14:solidFill>
                </w14:textFill>
              </w:rPr>
            </w:pPr>
            <w:r>
              <w:rPr>
                <w:rFonts w:hint="eastAsia" w:ascii="宋体" w:cs="Times New Roman"/>
                <w:color w:val="000000" w:themeColor="text1"/>
                <w:sz w:val="21"/>
                <w:highlight w:val="none"/>
                <w:lang w:val="en-US" w:eastAsia="zh-CN"/>
                <w14:textFill>
                  <w14:solidFill>
                    <w14:schemeClr w14:val="tx1"/>
                  </w14:solidFill>
                </w14:textFill>
              </w:rPr>
              <w:t>4</w:t>
            </w:r>
            <w:r>
              <w:rPr>
                <w:rFonts w:hint="eastAsia" w:ascii="宋体" w:hAnsi="Times New Roman" w:eastAsia="宋体" w:cs="Times New Roman"/>
                <w:color w:val="000000" w:themeColor="text1"/>
                <w:sz w:val="21"/>
                <w:highlight w:val="none"/>
                <w:lang w:val="en-US" w:eastAsia="zh-CN"/>
                <w14:textFill>
                  <w14:solidFill>
                    <w14:schemeClr w14:val="tx1"/>
                  </w14:solidFill>
                </w14:textFill>
              </w:rPr>
              <w:t>、</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售后服务</w:t>
            </w:r>
            <w:r>
              <w:rPr>
                <w:rFonts w:hint="eastAsia" w:ascii="宋体" w:hAnsi="Times New Roman" w:eastAsia="宋体" w:cs="Times New Roman"/>
                <w:color w:val="000000" w:themeColor="text1"/>
                <w:sz w:val="21"/>
                <w:highlight w:val="none"/>
                <w:lang w:val="en-US" w:eastAsia="zh-CN"/>
                <w14:textFill>
                  <w14:solidFill>
                    <w14:schemeClr w14:val="tx1"/>
                  </w14:solidFill>
                </w14:textFill>
              </w:rPr>
              <w:t>承诺及</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方案措施内容粗略，培训</w:t>
            </w:r>
            <w:r>
              <w:rPr>
                <w:rFonts w:hint="eastAsia" w:ascii="宋体" w:hAnsi="Times New Roman" w:eastAsia="宋体" w:cs="Times New Roman"/>
                <w:color w:val="000000" w:themeColor="text1"/>
                <w:sz w:val="21"/>
                <w:highlight w:val="none"/>
                <w:lang w:val="en-US" w:eastAsia="zh-CN"/>
                <w14:textFill>
                  <w14:solidFill>
                    <w14:schemeClr w14:val="tx1"/>
                  </w14:solidFill>
                </w14:textFill>
              </w:rPr>
              <w:t>方案</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的内容及方式</w:t>
            </w:r>
            <w:r>
              <w:rPr>
                <w:rFonts w:hint="eastAsia" w:ascii="宋体" w:cs="Times New Roman"/>
                <w:color w:val="000000" w:themeColor="text1"/>
                <w:sz w:val="21"/>
                <w:highlight w:val="none"/>
                <w:lang w:val="en-US" w:eastAsia="zh-CN"/>
                <w14:textFill>
                  <w14:solidFill>
                    <w14:schemeClr w14:val="tx1"/>
                  </w14:solidFill>
                </w14:textFill>
              </w:rPr>
              <w:t>较差</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、针对性较差，专业售后服务技术人员配备</w:t>
            </w:r>
            <w:r>
              <w:rPr>
                <w:rFonts w:hint="eastAsia" w:ascii="宋体" w:cs="Times New Roman"/>
                <w:color w:val="000000" w:themeColor="text1"/>
                <w:sz w:val="21"/>
                <w:highlight w:val="none"/>
                <w:lang w:val="en-US" w:eastAsia="zh-CN"/>
                <w14:textFill>
                  <w14:solidFill>
                    <w14:schemeClr w14:val="tx1"/>
                  </w14:solidFill>
                </w14:textFill>
              </w:rPr>
              <w:t>不</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齐全得</w:t>
            </w:r>
            <w:r>
              <w:rPr>
                <w:rFonts w:hint="eastAsia" w:ascii="宋体" w:cs="Times New Roman"/>
                <w:color w:val="000000" w:themeColor="text1"/>
                <w:sz w:val="21"/>
                <w:highlight w:val="none"/>
                <w:lang w:val="en-US" w:eastAsia="zh-CN"/>
                <w14:textFill>
                  <w14:solidFill>
                    <w14:schemeClr w14:val="tx1"/>
                  </w14:solidFill>
                </w14:textFill>
              </w:rPr>
              <w:t>1</w:t>
            </w:r>
            <w:r>
              <w:rPr>
                <w:rFonts w:hint="eastAsia" w:ascii="宋体" w:hAnsi="Times New Roman" w:eastAsia="宋体" w:cs="Times New Roman"/>
                <w:color w:val="000000" w:themeColor="text1"/>
                <w:sz w:val="21"/>
                <w:highlight w:val="none"/>
                <w:lang w:val="zh-CN" w:eastAsia="zh-CN"/>
                <w14:textFill>
                  <w14:solidFill>
                    <w14:schemeClr w14:val="tx1"/>
                  </w14:solidFill>
                </w14:textFill>
              </w:rPr>
              <w:t>分；</w:t>
            </w:r>
          </w:p>
        </w:tc>
      </w:tr>
    </w:tbl>
    <w:p w14:paraId="682BF5EA">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说明：以上项目若有缺项的，该项为0分；不缺项的，不低于最低分。</w:t>
      </w:r>
    </w:p>
    <w:p w14:paraId="272887B5">
      <w:pPr>
        <w:pageBreakBefore w:val="0"/>
        <w:widowControl w:val="0"/>
        <w:kinsoku/>
        <w:wordWrap/>
        <w:overflowPunct/>
        <w:topLinePunct w:val="0"/>
        <w:autoSpaceDE/>
        <w:autoSpaceDN/>
        <w:bidi w:val="0"/>
        <w:spacing w:line="360" w:lineRule="auto"/>
        <w:rPr>
          <w:rFonts w:hint="eastAsia" w:ascii="宋体" w:hAnsi="宋体" w:eastAsia="宋体" w:cs="宋体"/>
          <w:color w:val="000000" w:themeColor="text1"/>
          <w:highlight w:val="none"/>
          <w14:textFill>
            <w14:solidFill>
              <w14:schemeClr w14:val="tx1"/>
            </w14:solidFill>
          </w14:textFill>
        </w:rPr>
      </w:pPr>
    </w:p>
    <w:p w14:paraId="732432D1">
      <w:pPr>
        <w:keepNext/>
        <w:keepLines/>
        <w:pageBreakBefore w:val="0"/>
        <w:widowControl w:val="0"/>
        <w:kinsoku/>
        <w:wordWrap/>
        <w:overflowPunct/>
        <w:topLinePunct w:val="0"/>
        <w:autoSpaceDE/>
        <w:autoSpaceDN/>
        <w:bidi w:val="0"/>
        <w:spacing w:line="360" w:lineRule="auto"/>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742" w:name="_Toc135648931"/>
      <w:r>
        <w:rPr>
          <w:rFonts w:hint="eastAsia" w:ascii="宋体" w:hAnsi="宋体" w:eastAsia="宋体" w:cs="宋体"/>
          <w:b/>
          <w:bCs/>
          <w:color w:val="000000" w:themeColor="text1"/>
          <w:kern w:val="0"/>
          <w:sz w:val="32"/>
          <w:szCs w:val="32"/>
          <w:highlight w:val="none"/>
          <w14:textFill>
            <w14:solidFill>
              <w14:schemeClr w14:val="tx1"/>
            </w14:solidFill>
          </w14:textFill>
        </w:rPr>
        <w:t>1. 评标方法</w:t>
      </w:r>
      <w:bookmarkEnd w:id="742"/>
    </w:p>
    <w:p w14:paraId="12F1397B">
      <w:pPr>
        <w:pageBreakBefore w:val="0"/>
        <w:widowControl w:val="0"/>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次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145C9AC">
      <w:pPr>
        <w:keepNext/>
        <w:keepLines/>
        <w:pageBreakBefore w:val="0"/>
        <w:widowControl w:val="0"/>
        <w:kinsoku/>
        <w:wordWrap/>
        <w:overflowPunct/>
        <w:topLinePunct w:val="0"/>
        <w:autoSpaceDE/>
        <w:autoSpaceDN/>
        <w:bidi w:val="0"/>
        <w:spacing w:line="360" w:lineRule="auto"/>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743" w:name="_Toc135648932"/>
      <w:r>
        <w:rPr>
          <w:rFonts w:hint="eastAsia" w:ascii="宋体" w:hAnsi="宋体" w:eastAsia="宋体" w:cs="宋体"/>
          <w:b/>
          <w:bCs/>
          <w:color w:val="000000" w:themeColor="text1"/>
          <w:kern w:val="0"/>
          <w:sz w:val="32"/>
          <w:szCs w:val="32"/>
          <w:highlight w:val="none"/>
          <w14:textFill>
            <w14:solidFill>
              <w14:schemeClr w14:val="tx1"/>
            </w14:solidFill>
          </w14:textFill>
        </w:rPr>
        <w:t>2. 评审标准</w:t>
      </w:r>
      <w:bookmarkEnd w:id="743"/>
    </w:p>
    <w:p w14:paraId="7B581929">
      <w:pPr>
        <w:keepNext/>
        <w:keepLines/>
        <w:pageBreakBefore w:val="0"/>
        <w:widowControl w:val="0"/>
        <w:kinsoku/>
        <w:wordWrap/>
        <w:overflowPunct/>
        <w:topLinePunct w:val="0"/>
        <w:autoSpaceDE/>
        <w:autoSpaceDN/>
        <w:bidi w:val="0"/>
        <w:spacing w:line="360" w:lineRule="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744" w:name="_Toc135648933"/>
      <w:bookmarkStart w:id="745" w:name="_Toc135922572"/>
      <w:r>
        <w:rPr>
          <w:rFonts w:hint="eastAsia" w:ascii="宋体" w:hAnsi="宋体" w:eastAsia="宋体" w:cs="宋体"/>
          <w:b/>
          <w:bCs/>
          <w:color w:val="000000" w:themeColor="text1"/>
          <w:sz w:val="28"/>
          <w:szCs w:val="28"/>
          <w:highlight w:val="none"/>
          <w14:textFill>
            <w14:solidFill>
              <w14:schemeClr w14:val="tx1"/>
            </w14:solidFill>
          </w14:textFill>
        </w:rPr>
        <w:t>2.1 初步评审标准</w:t>
      </w:r>
      <w:bookmarkEnd w:id="744"/>
      <w:bookmarkEnd w:id="745"/>
    </w:p>
    <w:p w14:paraId="426EC463">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2.1.1资格评审标准：见评标办法前附表</w:t>
      </w:r>
    </w:p>
    <w:p w14:paraId="5BD38004">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2.1.2符合性评审标准：见评标办法前附表</w:t>
      </w:r>
    </w:p>
    <w:p w14:paraId="0F8904B8">
      <w:pPr>
        <w:keepNext/>
        <w:keepLines/>
        <w:pageBreakBefore w:val="0"/>
        <w:widowControl w:val="0"/>
        <w:kinsoku/>
        <w:wordWrap/>
        <w:overflowPunct/>
        <w:topLinePunct w:val="0"/>
        <w:autoSpaceDE/>
        <w:autoSpaceDN/>
        <w:bidi w:val="0"/>
        <w:spacing w:line="360" w:lineRule="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746" w:name="_Toc135922573"/>
      <w:bookmarkStart w:id="747" w:name="_Toc135648934"/>
      <w:r>
        <w:rPr>
          <w:rFonts w:hint="eastAsia" w:ascii="宋体" w:hAnsi="宋体" w:eastAsia="宋体" w:cs="宋体"/>
          <w:b/>
          <w:bCs/>
          <w:color w:val="000000" w:themeColor="text1"/>
          <w:sz w:val="28"/>
          <w:szCs w:val="28"/>
          <w:highlight w:val="none"/>
          <w14:textFill>
            <w14:solidFill>
              <w14:schemeClr w14:val="tx1"/>
            </w14:solidFill>
          </w14:textFill>
        </w:rPr>
        <w:t>2.2 分值构成与评分标准</w:t>
      </w:r>
      <w:bookmarkEnd w:id="746"/>
      <w:bookmarkEnd w:id="747"/>
    </w:p>
    <w:p w14:paraId="4F84169E">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2.2.1 分值构成</w:t>
      </w:r>
    </w:p>
    <w:p w14:paraId="3497EB63">
      <w:pPr>
        <w:pageBreakBefore w:val="0"/>
        <w:widowControl w:val="0"/>
        <w:kinsoku/>
        <w:wordWrap/>
        <w:overflowPunct/>
        <w:topLinePunct w:val="0"/>
        <w:autoSpaceDE/>
        <w:autoSpaceDN/>
        <w:bidi w:val="0"/>
        <w:spacing w:line="360" w:lineRule="auto"/>
        <w:ind w:firstLine="630" w:firstLineChars="3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（1）投标报价：见评标办法前附表；</w:t>
      </w:r>
    </w:p>
    <w:p w14:paraId="69C045D3">
      <w:pPr>
        <w:pageBreakBefore w:val="0"/>
        <w:widowControl w:val="0"/>
        <w:kinsoku/>
        <w:wordWrap/>
        <w:overflowPunct/>
        <w:topLinePunct w:val="0"/>
        <w:autoSpaceDE/>
        <w:autoSpaceDN/>
        <w:bidi w:val="0"/>
        <w:spacing w:line="360" w:lineRule="auto"/>
        <w:ind w:firstLine="630" w:firstLineChars="3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（2）技术标</w:t>
      </w:r>
      <w:r>
        <w:rPr>
          <w:rFonts w:hint="eastAsia" w:ascii="宋体" w:hAnsi="宋体" w:eastAsia="宋体" w:cs="宋体"/>
          <w:color w:val="000000" w:themeColor="text1"/>
          <w:szCs w:val="24"/>
          <w:highlight w:val="none"/>
          <w:lang w:eastAsia="zh-CN"/>
          <w14:textFill>
            <w14:solidFill>
              <w14:schemeClr w14:val="tx1"/>
            </w14:solidFill>
          </w14:textFill>
        </w:rPr>
        <w:t>部分</w:t>
      </w:r>
      <w:r>
        <w:rPr>
          <w:rFonts w:hint="eastAsia" w:ascii="宋体" w:hAnsi="宋体" w:eastAsia="宋体" w:cs="宋体"/>
          <w:color w:val="000000" w:themeColor="text1"/>
          <w:szCs w:val="24"/>
          <w:highlight w:val="none"/>
          <w14:textFill>
            <w14:solidFill>
              <w14:schemeClr w14:val="tx1"/>
            </w14:solidFill>
          </w14:textFill>
        </w:rPr>
        <w:t>：见评标办法前附表；</w:t>
      </w:r>
    </w:p>
    <w:p w14:paraId="5C735260">
      <w:pPr>
        <w:pageBreakBefore w:val="0"/>
        <w:widowControl w:val="0"/>
        <w:kinsoku/>
        <w:wordWrap/>
        <w:overflowPunct/>
        <w:topLinePunct w:val="0"/>
        <w:autoSpaceDE/>
        <w:autoSpaceDN/>
        <w:bidi w:val="0"/>
        <w:spacing w:line="360" w:lineRule="auto"/>
        <w:ind w:firstLine="630" w:firstLineChars="3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w:t>
      </w:r>
      <w:r>
        <w:rPr>
          <w:rFonts w:hint="eastAsia" w:ascii="宋体" w:hAnsi="宋体" w:eastAsia="宋体" w:cs="宋体"/>
          <w:color w:val="000000" w:themeColor="text1"/>
          <w:szCs w:val="24"/>
          <w:highlight w:val="none"/>
          <w:lang w:eastAsia="zh-CN"/>
          <w14:textFill>
            <w14:solidFill>
              <w14:schemeClr w14:val="tx1"/>
            </w14:solidFill>
          </w14:textFill>
        </w:rPr>
        <w:t>综合</w:t>
      </w:r>
      <w:r>
        <w:rPr>
          <w:rFonts w:hint="eastAsia" w:ascii="宋体" w:hAnsi="宋体" w:eastAsia="宋体" w:cs="宋体"/>
          <w:color w:val="000000" w:themeColor="text1"/>
          <w:szCs w:val="24"/>
          <w:highlight w:val="none"/>
          <w14:textFill>
            <w14:solidFill>
              <w14:schemeClr w14:val="tx1"/>
            </w14:solidFill>
          </w14:textFill>
        </w:rPr>
        <w:t>部分：见评标办法前附表；</w:t>
      </w:r>
    </w:p>
    <w:p w14:paraId="549D2BB2">
      <w:pPr>
        <w:pageBreakBefore w:val="0"/>
        <w:widowControl w:val="0"/>
        <w:kinsoku/>
        <w:wordWrap/>
        <w:overflowPunct/>
        <w:topLinePunct w:val="0"/>
        <w:autoSpaceDE/>
        <w:autoSpaceDN/>
        <w:bidi w:val="0"/>
        <w:spacing w:line="360" w:lineRule="auto"/>
        <w:ind w:firstLine="424" w:firstLineChars="202"/>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2.2.2评标基准价计算</w:t>
      </w:r>
    </w:p>
    <w:p w14:paraId="22E10A86">
      <w:pPr>
        <w:pageBreakBefore w:val="0"/>
        <w:widowControl w:val="0"/>
        <w:kinsoku/>
        <w:wordWrap/>
        <w:overflowPunct/>
        <w:topLinePunct w:val="0"/>
        <w:autoSpaceDE/>
        <w:autoSpaceDN/>
        <w:bidi w:val="0"/>
        <w:spacing w:line="360" w:lineRule="auto"/>
        <w:ind w:firstLine="840" w:firstLineChars="4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 评标基准价计算方法：见评标办法前附表。</w:t>
      </w:r>
    </w:p>
    <w:p w14:paraId="14708EE9">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2.2.3 评分标准</w:t>
      </w:r>
    </w:p>
    <w:p w14:paraId="69B82ADB">
      <w:pPr>
        <w:pageBreakBefore w:val="0"/>
        <w:widowControl w:val="0"/>
        <w:kinsoku/>
        <w:wordWrap/>
        <w:overflowPunct/>
        <w:topLinePunct w:val="0"/>
        <w:autoSpaceDE/>
        <w:autoSpaceDN/>
        <w:bidi w:val="0"/>
        <w:spacing w:line="360" w:lineRule="auto"/>
        <w:ind w:firstLine="718" w:firstLineChars="342"/>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（1）投标报价评分标准：见评标办法前附表；</w:t>
      </w:r>
    </w:p>
    <w:p w14:paraId="7E18FE93">
      <w:pPr>
        <w:pageBreakBefore w:val="0"/>
        <w:widowControl w:val="0"/>
        <w:kinsoku/>
        <w:wordWrap/>
        <w:overflowPunct/>
        <w:topLinePunct w:val="0"/>
        <w:autoSpaceDE/>
        <w:autoSpaceDN/>
        <w:bidi w:val="0"/>
        <w:spacing w:line="360" w:lineRule="auto"/>
        <w:ind w:firstLine="718" w:firstLineChars="342"/>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（2）技术标</w:t>
      </w:r>
      <w:r>
        <w:rPr>
          <w:rFonts w:hint="eastAsia" w:ascii="宋体" w:hAnsi="宋体" w:eastAsia="宋体" w:cs="宋体"/>
          <w:color w:val="000000" w:themeColor="text1"/>
          <w:szCs w:val="24"/>
          <w:highlight w:val="none"/>
          <w:lang w:eastAsia="zh-CN"/>
          <w14:textFill>
            <w14:solidFill>
              <w14:schemeClr w14:val="tx1"/>
            </w14:solidFill>
          </w14:textFill>
        </w:rPr>
        <w:t>部分</w:t>
      </w:r>
      <w:r>
        <w:rPr>
          <w:rFonts w:hint="eastAsia" w:ascii="宋体" w:hAnsi="宋体" w:eastAsia="宋体" w:cs="宋体"/>
          <w:color w:val="000000" w:themeColor="text1"/>
          <w:szCs w:val="24"/>
          <w:highlight w:val="none"/>
          <w14:textFill>
            <w14:solidFill>
              <w14:schemeClr w14:val="tx1"/>
            </w14:solidFill>
          </w14:textFill>
        </w:rPr>
        <w:t>评分标准：见评标办法前附表；</w:t>
      </w:r>
    </w:p>
    <w:p w14:paraId="324D318D">
      <w:pPr>
        <w:pageBreakBefore w:val="0"/>
        <w:widowControl w:val="0"/>
        <w:kinsoku/>
        <w:wordWrap/>
        <w:overflowPunct/>
        <w:topLinePunct w:val="0"/>
        <w:autoSpaceDE/>
        <w:autoSpaceDN/>
        <w:bidi w:val="0"/>
        <w:spacing w:line="360" w:lineRule="auto"/>
        <w:ind w:firstLine="735" w:firstLineChars="35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w:t>
      </w:r>
      <w:r>
        <w:rPr>
          <w:rFonts w:hint="eastAsia" w:ascii="宋体" w:hAnsi="宋体" w:eastAsia="宋体" w:cs="宋体"/>
          <w:color w:val="000000" w:themeColor="text1"/>
          <w:szCs w:val="24"/>
          <w:highlight w:val="none"/>
          <w:lang w:eastAsia="zh-CN"/>
          <w14:textFill>
            <w14:solidFill>
              <w14:schemeClr w14:val="tx1"/>
            </w14:solidFill>
          </w14:textFill>
        </w:rPr>
        <w:t>综合部分</w:t>
      </w:r>
      <w:r>
        <w:rPr>
          <w:rFonts w:hint="eastAsia" w:ascii="宋体" w:hAnsi="宋体" w:eastAsia="宋体" w:cs="宋体"/>
          <w:color w:val="000000" w:themeColor="text1"/>
          <w:szCs w:val="24"/>
          <w:highlight w:val="none"/>
          <w14:textFill>
            <w14:solidFill>
              <w14:schemeClr w14:val="tx1"/>
            </w14:solidFill>
          </w14:textFill>
        </w:rPr>
        <w:t>评分标准：见评标办法前附表；</w:t>
      </w:r>
    </w:p>
    <w:p w14:paraId="1F0CA52B">
      <w:pPr>
        <w:keepNext/>
        <w:keepLines/>
        <w:pageBreakBefore w:val="0"/>
        <w:widowControl w:val="0"/>
        <w:kinsoku/>
        <w:wordWrap/>
        <w:overflowPunct/>
        <w:topLinePunct w:val="0"/>
        <w:autoSpaceDE/>
        <w:autoSpaceDN/>
        <w:bidi w:val="0"/>
        <w:spacing w:line="360" w:lineRule="auto"/>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748" w:name="_Toc135648935"/>
      <w:r>
        <w:rPr>
          <w:rFonts w:hint="eastAsia" w:ascii="宋体" w:hAnsi="宋体" w:eastAsia="宋体" w:cs="宋体"/>
          <w:b/>
          <w:bCs/>
          <w:color w:val="000000" w:themeColor="text1"/>
          <w:kern w:val="0"/>
          <w:sz w:val="32"/>
          <w:szCs w:val="32"/>
          <w:highlight w:val="none"/>
          <w14:textFill>
            <w14:solidFill>
              <w14:schemeClr w14:val="tx1"/>
            </w14:solidFill>
          </w14:textFill>
        </w:rPr>
        <w:t>3. 评标程序</w:t>
      </w:r>
      <w:bookmarkEnd w:id="748"/>
    </w:p>
    <w:p w14:paraId="107E5B08">
      <w:pPr>
        <w:keepNext/>
        <w:keepLines/>
        <w:pageBreakBefore w:val="0"/>
        <w:widowControl w:val="0"/>
        <w:kinsoku/>
        <w:wordWrap/>
        <w:overflowPunct/>
        <w:topLinePunct w:val="0"/>
        <w:autoSpaceDE/>
        <w:autoSpaceDN/>
        <w:bidi w:val="0"/>
        <w:spacing w:line="360" w:lineRule="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749" w:name="_Toc135922574"/>
      <w:bookmarkStart w:id="750" w:name="_Toc135648936"/>
      <w:r>
        <w:rPr>
          <w:rFonts w:hint="eastAsia" w:ascii="宋体" w:hAnsi="宋体" w:eastAsia="宋体" w:cs="宋体"/>
          <w:b/>
          <w:bCs/>
          <w:color w:val="000000" w:themeColor="text1"/>
          <w:sz w:val="28"/>
          <w:szCs w:val="28"/>
          <w:highlight w:val="none"/>
          <w14:textFill>
            <w14:solidFill>
              <w14:schemeClr w14:val="tx1"/>
            </w14:solidFill>
          </w14:textFill>
        </w:rPr>
        <w:t>3.1 初步评审</w:t>
      </w:r>
      <w:bookmarkEnd w:id="749"/>
      <w:bookmarkEnd w:id="750"/>
    </w:p>
    <w:p w14:paraId="4A024C72">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3.1.1评标委员会依据符合性评审规定的标准对投标文件进行评审。有一项不符合评审标准的，评标委员会应当否决其投标。</w:t>
      </w:r>
    </w:p>
    <w:p w14:paraId="7836CFE5">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3.1.2投标文件报价出现前后不一致的， 按照下列规定修正：</w:t>
      </w:r>
    </w:p>
    <w:p w14:paraId="4129A8FA">
      <w:pPr>
        <w:pageBreakBefore w:val="0"/>
        <w:widowControl w:val="0"/>
        <w:kinsoku/>
        <w:wordWrap/>
        <w:overflowPunct/>
        <w:topLinePunct w:val="0"/>
        <w:autoSpaceDE/>
        <w:autoSpaceDN/>
        <w:bidi w:val="0"/>
        <w:spacing w:line="360" w:lineRule="auto"/>
        <w:ind w:firstLine="420" w:firstLineChars="200"/>
        <w:textAlignment w:val="baseline"/>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（1）投标文件中投标函附录（报价表）内容与投标文件中相应内容不一致的，以投标函附录（报价表）为准；</w:t>
      </w:r>
    </w:p>
    <w:p w14:paraId="3EC66993">
      <w:pPr>
        <w:pageBreakBefore w:val="0"/>
        <w:widowControl w:val="0"/>
        <w:kinsoku/>
        <w:wordWrap/>
        <w:overflowPunct/>
        <w:topLinePunct w:val="0"/>
        <w:autoSpaceDE/>
        <w:autoSpaceDN/>
        <w:bidi w:val="0"/>
        <w:spacing w:line="360" w:lineRule="auto"/>
        <w:ind w:firstLine="420" w:firstLineChars="200"/>
        <w:textAlignment w:val="baseline"/>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（2）大写金额和小写金额不一致的，以大写金额为准；</w:t>
      </w:r>
    </w:p>
    <w:p w14:paraId="19A2A5AA">
      <w:pPr>
        <w:pageBreakBefore w:val="0"/>
        <w:widowControl w:val="0"/>
        <w:kinsoku/>
        <w:wordWrap/>
        <w:overflowPunct/>
        <w:topLinePunct w:val="0"/>
        <w:autoSpaceDE/>
        <w:autoSpaceDN/>
        <w:bidi w:val="0"/>
        <w:spacing w:line="360" w:lineRule="auto"/>
        <w:ind w:firstLine="420" w:firstLineChars="200"/>
        <w:textAlignment w:val="baseline"/>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（3）单价金额小数点或者百分比有明显错位的，以</w:t>
      </w:r>
      <w:r>
        <w:rPr>
          <w:rFonts w:hint="eastAsia" w:ascii="宋体" w:hAnsi="宋体" w:eastAsia="宋体" w:cs="宋体"/>
          <w:color w:val="000000" w:themeColor="text1"/>
          <w:szCs w:val="24"/>
          <w:highlight w:val="none"/>
          <w:lang w:eastAsia="zh-CN"/>
          <w14:textFill>
            <w14:solidFill>
              <w14:schemeClr w14:val="tx1"/>
            </w14:solidFill>
          </w14:textFill>
        </w:rPr>
        <w:t>投标函附录</w:t>
      </w:r>
      <w:r>
        <w:rPr>
          <w:rFonts w:hint="eastAsia" w:ascii="宋体" w:hAnsi="宋体" w:eastAsia="宋体" w:cs="宋体"/>
          <w:color w:val="000000" w:themeColor="text1"/>
          <w:szCs w:val="24"/>
          <w:highlight w:val="none"/>
          <w14:textFill>
            <w14:solidFill>
              <w14:schemeClr w14:val="tx1"/>
            </w14:solidFill>
          </w14:textFill>
        </w:rPr>
        <w:t>的总价为准，并修改单价；</w:t>
      </w:r>
    </w:p>
    <w:p w14:paraId="2B80CF40">
      <w:pPr>
        <w:pageBreakBefore w:val="0"/>
        <w:widowControl w:val="0"/>
        <w:kinsoku/>
        <w:wordWrap/>
        <w:overflowPunct/>
        <w:topLinePunct w:val="0"/>
        <w:autoSpaceDE/>
        <w:autoSpaceDN/>
        <w:bidi w:val="0"/>
        <w:spacing w:line="360" w:lineRule="auto"/>
        <w:ind w:firstLine="420" w:firstLineChars="200"/>
        <w:textAlignment w:val="baseline"/>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（4）总价金额与按单价汇总金额不一致的，以单价金额计算结果为准。</w:t>
      </w:r>
    </w:p>
    <w:p w14:paraId="0B650B77">
      <w:pPr>
        <w:pageBreakBefore w:val="0"/>
        <w:widowControl w:val="0"/>
        <w:kinsoku/>
        <w:wordWrap/>
        <w:overflowPunct/>
        <w:topLinePunct w:val="0"/>
        <w:autoSpaceDE/>
        <w:autoSpaceDN/>
        <w:bidi w:val="0"/>
        <w:spacing w:line="360" w:lineRule="auto"/>
        <w:ind w:firstLine="529" w:firstLineChars="252"/>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同时出现两种以上不一致的，按照前款规定的顺序修正。修正后的报价经投标人确认后产生约束力，投标人不确认的，其投标无效。对不同文字文本投标文件的解释发生异议的，以中文文本为准。</w:t>
      </w:r>
    </w:p>
    <w:p w14:paraId="0DDFCD58">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3.1.3</w:t>
      </w:r>
    </w:p>
    <w:p w14:paraId="5AB44C39">
      <w:pPr>
        <w:pageBreakBefore w:val="0"/>
        <w:widowControl w:val="0"/>
        <w:numPr>
          <w:ilvl w:val="0"/>
          <w:numId w:val="0"/>
        </w:numPr>
        <w:kinsoku/>
        <w:wordWrap/>
        <w:overflowPunct/>
        <w:topLinePunct w:val="0"/>
        <w:autoSpaceDE/>
        <w:autoSpaceDN/>
        <w:bidi w:val="0"/>
        <w:spacing w:line="360" w:lineRule="auto"/>
        <w:ind w:firstLine="529" w:firstLineChars="252"/>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t>（1）</w:t>
      </w:r>
      <w:r>
        <w:rPr>
          <w:rFonts w:hint="eastAsia" w:ascii="宋体" w:hAnsi="宋体" w:eastAsia="宋体" w:cs="宋体"/>
          <w:color w:val="000000" w:themeColor="text1"/>
          <w:szCs w:val="24"/>
          <w:highlight w:val="none"/>
          <w14:textFill>
            <w14:solidFill>
              <w14:schemeClr w14:val="tx1"/>
            </w14:solidFill>
          </w14:textFill>
        </w:rPr>
        <w:t>评标委员会在价格评审阶段，优先审查供应商是否提交《关于符合本国产品标准的声明函》，未按规定提交的，不享受本国产品价格扣除优惠。</w:t>
      </w:r>
    </w:p>
    <w:p w14:paraId="21673511">
      <w:pPr>
        <w:pageBreakBefore w:val="0"/>
        <w:widowControl w:val="0"/>
        <w:numPr>
          <w:ilvl w:val="0"/>
          <w:numId w:val="0"/>
        </w:numPr>
        <w:kinsoku/>
        <w:wordWrap/>
        <w:overflowPunct/>
        <w:topLinePunct w:val="0"/>
        <w:autoSpaceDE/>
        <w:autoSpaceDN/>
        <w:bidi w:val="0"/>
        <w:spacing w:line="360" w:lineRule="auto"/>
        <w:ind w:firstLine="529" w:firstLineChars="252"/>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t>（2）</w:t>
      </w:r>
      <w:r>
        <w:rPr>
          <w:rFonts w:hint="eastAsia" w:ascii="宋体" w:hAnsi="宋体" w:eastAsia="宋体" w:cs="宋体"/>
          <w:color w:val="000000" w:themeColor="text1"/>
          <w:szCs w:val="24"/>
          <w:highlight w:val="none"/>
          <w14:textFill>
            <w14:solidFill>
              <w14:schemeClr w14:val="tx1"/>
            </w14:solidFill>
          </w14:textFill>
        </w:rPr>
        <w:t>对提交声明函的供应商，核查声明内容是否完整、清晰，是否明确符合本国产品标准及成本占比情况，声明内容模糊、关键信息缺失的，不予认定。</w:t>
      </w:r>
    </w:p>
    <w:p w14:paraId="1DE364C9">
      <w:pPr>
        <w:pageBreakBefore w:val="0"/>
        <w:widowControl w:val="0"/>
        <w:kinsoku/>
        <w:wordWrap/>
        <w:overflowPunct/>
        <w:topLinePunct w:val="0"/>
        <w:autoSpaceDE/>
        <w:autoSpaceDN/>
        <w:bidi w:val="0"/>
        <w:spacing w:line="360" w:lineRule="auto"/>
        <w:ind w:firstLine="529" w:firstLineChars="252"/>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w:t>
      </w:r>
      <w:r>
        <w:rPr>
          <w:rFonts w:hint="eastAsia" w:ascii="宋体" w:hAnsi="宋体" w:eastAsia="宋体" w:cs="宋体"/>
          <w:color w:val="000000" w:themeColor="text1"/>
          <w:szCs w:val="24"/>
          <w:highlight w:val="none"/>
          <w:lang w:val="en-US" w:eastAsia="zh-CN"/>
          <w14:textFill>
            <w14:solidFill>
              <w14:schemeClr w14:val="tx1"/>
            </w14:solidFill>
          </w14:textFill>
        </w:rPr>
        <w:t>3</w:t>
      </w:r>
      <w:r>
        <w:rPr>
          <w:rFonts w:hint="eastAsia" w:ascii="宋体" w:hAnsi="宋体" w:eastAsia="宋体" w:cs="宋体"/>
          <w:color w:val="000000" w:themeColor="text1"/>
          <w:szCs w:val="24"/>
          <w:highlight w:val="none"/>
          <w14:textFill>
            <w14:solidFill>
              <w14:schemeClr w14:val="tx1"/>
            </w14:solidFill>
          </w14:textFill>
        </w:rPr>
        <w:t>）评标委员会对本国产品认定结果存在疑问的，可要求供应商作出书面说明或提供辅助证明材料，供应商拒不配合或无法合理说明的，不予享受价格扣除。</w:t>
      </w:r>
    </w:p>
    <w:p w14:paraId="55BA66C8">
      <w:pPr>
        <w:pageBreakBefore w:val="0"/>
        <w:widowControl w:val="0"/>
        <w:kinsoku/>
        <w:wordWrap/>
        <w:overflowPunct/>
        <w:topLinePunct w:val="0"/>
        <w:autoSpaceDE/>
        <w:autoSpaceDN/>
        <w:bidi w:val="0"/>
        <w:spacing w:line="360" w:lineRule="auto"/>
        <w:ind w:firstLine="529" w:firstLineChars="252"/>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w:t>
      </w:r>
      <w:r>
        <w:rPr>
          <w:rFonts w:hint="eastAsia" w:ascii="宋体" w:hAnsi="宋体" w:eastAsia="宋体" w:cs="宋体"/>
          <w:color w:val="000000" w:themeColor="text1"/>
          <w:szCs w:val="24"/>
          <w:highlight w:val="none"/>
          <w:lang w:val="en-US" w:eastAsia="zh-CN"/>
          <w14:textFill>
            <w14:solidFill>
              <w14:schemeClr w14:val="tx1"/>
            </w14:solidFill>
          </w14:textFill>
        </w:rPr>
        <w:t>4</w:t>
      </w:r>
      <w:r>
        <w:rPr>
          <w:rFonts w:hint="eastAsia" w:ascii="宋体" w:hAnsi="宋体" w:eastAsia="宋体" w:cs="宋体"/>
          <w:color w:val="000000" w:themeColor="text1"/>
          <w:szCs w:val="24"/>
          <w:highlight w:val="none"/>
          <w14:textFill>
            <w14:solidFill>
              <w14:schemeClr w14:val="tx1"/>
            </w14:solidFill>
          </w14:textFill>
        </w:rPr>
        <w:t>）评标过程中发现供应商存在虚假声明、骗取政策优惠情形的，按无效投标处理，并由采购人或采购代理机构按规定上报财政部门。</w:t>
      </w:r>
    </w:p>
    <w:p w14:paraId="25FCAACA">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3.1.</w:t>
      </w:r>
      <w:r>
        <w:rPr>
          <w:rFonts w:hint="eastAsia" w:ascii="宋体" w:hAnsi="宋体" w:eastAsia="宋体" w:cs="宋体"/>
          <w:color w:val="000000" w:themeColor="text1"/>
          <w:szCs w:val="24"/>
          <w:highlight w:val="none"/>
          <w:lang w:val="en-US" w:eastAsia="zh-CN"/>
          <w14:textFill>
            <w14:solidFill>
              <w14:schemeClr w14:val="tx1"/>
            </w14:solidFill>
          </w14:textFill>
        </w:rPr>
        <w:t>4</w:t>
      </w:r>
      <w:r>
        <w:rPr>
          <w:rFonts w:hint="eastAsia" w:ascii="宋体" w:hAnsi="宋体" w:eastAsia="宋体" w:cs="宋体"/>
          <w:color w:val="000000" w:themeColor="text1"/>
          <w:szCs w:val="24"/>
          <w:highlight w:val="none"/>
          <w14:textFill>
            <w14:solidFill>
              <w14:schemeClr w14:val="tx1"/>
            </w14:solidFill>
          </w14:textFill>
        </w:rPr>
        <w:t xml:space="preserve">　投标人存在下列情况之一的，投标无效: </w:t>
      </w:r>
    </w:p>
    <w:p w14:paraId="03884F1D">
      <w:pPr>
        <w:pageBreakBefore w:val="0"/>
        <w:widowControl w:val="0"/>
        <w:kinsoku/>
        <w:wordWrap/>
        <w:overflowPunct/>
        <w:topLinePunct w:val="0"/>
        <w:autoSpaceDE/>
        <w:autoSpaceDN/>
        <w:bidi w:val="0"/>
        <w:spacing w:line="360" w:lineRule="auto"/>
        <w:ind w:firstLine="850" w:firstLineChars="405"/>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（一）投标文件未按招标文件要求签署、盖章的；</w:t>
      </w:r>
    </w:p>
    <w:p w14:paraId="5B6CEE1E">
      <w:pPr>
        <w:pageBreakBefore w:val="0"/>
        <w:widowControl w:val="0"/>
        <w:kinsoku/>
        <w:wordWrap/>
        <w:overflowPunct/>
        <w:topLinePunct w:val="0"/>
        <w:autoSpaceDE/>
        <w:autoSpaceDN/>
        <w:bidi w:val="0"/>
        <w:spacing w:line="360" w:lineRule="auto"/>
        <w:ind w:firstLine="850" w:firstLineChars="405"/>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（二）不具备招标文件中规定的资格要求的；</w:t>
      </w:r>
    </w:p>
    <w:p w14:paraId="46515BB0">
      <w:pPr>
        <w:pageBreakBefore w:val="0"/>
        <w:widowControl w:val="0"/>
        <w:kinsoku/>
        <w:wordWrap/>
        <w:overflowPunct/>
        <w:topLinePunct w:val="0"/>
        <w:autoSpaceDE/>
        <w:autoSpaceDN/>
        <w:bidi w:val="0"/>
        <w:spacing w:line="360" w:lineRule="auto"/>
        <w:ind w:firstLine="850" w:firstLineChars="405"/>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（三）报价超过招标文件中规定的预算金额或者最高限价的；</w:t>
      </w:r>
    </w:p>
    <w:p w14:paraId="224204EA">
      <w:pPr>
        <w:pageBreakBefore w:val="0"/>
        <w:widowControl w:val="0"/>
        <w:kinsoku/>
        <w:wordWrap/>
        <w:overflowPunct/>
        <w:topLinePunct w:val="0"/>
        <w:autoSpaceDE/>
        <w:autoSpaceDN/>
        <w:bidi w:val="0"/>
        <w:spacing w:line="360" w:lineRule="auto"/>
        <w:ind w:firstLine="850" w:firstLineChars="405"/>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（四）投标文件含有采购人不能接受的附加条件的；</w:t>
      </w:r>
    </w:p>
    <w:p w14:paraId="0D95E2F4">
      <w:pPr>
        <w:pageBreakBefore w:val="0"/>
        <w:widowControl w:val="0"/>
        <w:kinsoku/>
        <w:wordWrap/>
        <w:overflowPunct/>
        <w:topLinePunct w:val="0"/>
        <w:autoSpaceDE/>
        <w:autoSpaceDN/>
        <w:bidi w:val="0"/>
        <w:spacing w:line="360" w:lineRule="auto"/>
        <w:ind w:firstLine="850" w:firstLineChars="405"/>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（五）法律、法规和招标文件规定的其他无效情形。</w:t>
      </w:r>
    </w:p>
    <w:p w14:paraId="6EFC72B2">
      <w:pPr>
        <w:pageBreakBefore w:val="0"/>
        <w:widowControl w:val="0"/>
        <w:kinsoku/>
        <w:wordWrap/>
        <w:overflowPunct/>
        <w:topLinePunct w:val="0"/>
        <w:autoSpaceDE/>
        <w:autoSpaceDN/>
        <w:bidi w:val="0"/>
        <w:spacing w:line="360" w:lineRule="auto"/>
        <w:ind w:firstLine="567" w:firstLineChars="27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3.1.</w:t>
      </w:r>
      <w:r>
        <w:rPr>
          <w:rFonts w:hint="eastAsia" w:ascii="宋体" w:hAnsi="宋体" w:eastAsia="宋体" w:cs="宋体"/>
          <w:color w:val="000000" w:themeColor="text1"/>
          <w:szCs w:val="24"/>
          <w:highlight w:val="none"/>
          <w:lang w:val="en-US" w:eastAsia="zh-CN"/>
          <w14:textFill>
            <w14:solidFill>
              <w14:schemeClr w14:val="tx1"/>
            </w14:solidFill>
          </w14:textFill>
        </w:rPr>
        <w:t>5</w:t>
      </w:r>
      <w:r>
        <w:rPr>
          <w:rFonts w:hint="eastAsia" w:ascii="宋体" w:hAnsi="宋体" w:eastAsia="宋体" w:cs="宋体"/>
          <w:color w:val="000000" w:themeColor="text1"/>
          <w:szCs w:val="24"/>
          <w:highlight w:val="none"/>
          <w14:textFill>
            <w14:solidFill>
              <w14:schemeClr w14:val="tx1"/>
            </w14:solidFill>
          </w14:textFill>
        </w:rPr>
        <w:t>其他投标（响应）文件无效情形</w:t>
      </w:r>
    </w:p>
    <w:p w14:paraId="633CA031">
      <w:pPr>
        <w:pageBreakBefore w:val="0"/>
        <w:widowControl w:val="0"/>
        <w:kinsoku/>
        <w:wordWrap/>
        <w:overflowPunct/>
        <w:topLinePunct w:val="0"/>
        <w:autoSpaceDE/>
        <w:autoSpaceDN/>
        <w:bidi w:val="0"/>
        <w:spacing w:line="360" w:lineRule="auto"/>
        <w:ind w:firstLine="850" w:firstLineChars="405"/>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依据《河南省财政厅关于防范供应商串通投标促进政府采购公平竞争的通知》豫财购﹝2021﹞6号文件，参与同一个标段（包）的供应商存在下列情形之一的，其投标（响应）文件无效：</w:t>
      </w:r>
    </w:p>
    <w:p w14:paraId="673B1390">
      <w:pPr>
        <w:pageBreakBefore w:val="0"/>
        <w:widowControl w:val="0"/>
        <w:kinsoku/>
        <w:wordWrap/>
        <w:overflowPunct/>
        <w:topLinePunct w:val="0"/>
        <w:autoSpaceDE/>
        <w:autoSpaceDN/>
        <w:bidi w:val="0"/>
        <w:spacing w:line="360" w:lineRule="auto"/>
        <w:ind w:firstLine="850" w:firstLineChars="405"/>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（1）不同供应商的电子投标（响应）文件上传计算机的网卡MAC地址、CPU序列号和硬盘序列号等硬件信息相同的；</w:t>
      </w:r>
    </w:p>
    <w:p w14:paraId="59D10749">
      <w:pPr>
        <w:pageBreakBefore w:val="0"/>
        <w:widowControl w:val="0"/>
        <w:kinsoku/>
        <w:wordWrap/>
        <w:overflowPunct/>
        <w:topLinePunct w:val="0"/>
        <w:autoSpaceDE/>
        <w:autoSpaceDN/>
        <w:bidi w:val="0"/>
        <w:spacing w:line="360" w:lineRule="auto"/>
        <w:ind w:firstLine="850" w:firstLineChars="405"/>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（2）不同供应商的投标（响应）文件由同一电子设备编制、打印加密或者上传；</w:t>
      </w:r>
    </w:p>
    <w:p w14:paraId="604B59C1">
      <w:pPr>
        <w:pageBreakBefore w:val="0"/>
        <w:widowControl w:val="0"/>
        <w:kinsoku/>
        <w:wordWrap/>
        <w:overflowPunct/>
        <w:topLinePunct w:val="0"/>
        <w:autoSpaceDE/>
        <w:autoSpaceDN/>
        <w:bidi w:val="0"/>
        <w:spacing w:line="360" w:lineRule="auto"/>
        <w:ind w:firstLine="850" w:firstLineChars="405"/>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（3）不同供应商的投标（响应）文件由同一电子设备打印、复印；</w:t>
      </w:r>
    </w:p>
    <w:p w14:paraId="35B057E4">
      <w:pPr>
        <w:pageBreakBefore w:val="0"/>
        <w:widowControl w:val="0"/>
        <w:kinsoku/>
        <w:wordWrap/>
        <w:overflowPunct/>
        <w:topLinePunct w:val="0"/>
        <w:autoSpaceDE/>
        <w:autoSpaceDN/>
        <w:bidi w:val="0"/>
        <w:spacing w:line="360" w:lineRule="auto"/>
        <w:ind w:firstLine="850" w:firstLineChars="405"/>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（4）不同供应商的投标（响应）文件由同一人送达或者分发，或者不同供应商联系人为同一人或不同联系人的联系电话一致的；</w:t>
      </w:r>
    </w:p>
    <w:p w14:paraId="034822E5">
      <w:pPr>
        <w:pageBreakBefore w:val="0"/>
        <w:widowControl w:val="0"/>
        <w:kinsoku/>
        <w:wordWrap/>
        <w:overflowPunct/>
        <w:topLinePunct w:val="0"/>
        <w:autoSpaceDE/>
        <w:autoSpaceDN/>
        <w:bidi w:val="0"/>
        <w:spacing w:line="360" w:lineRule="auto"/>
        <w:ind w:firstLine="850" w:firstLineChars="405"/>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（5）不同供应商的投标（响应）文件的内容存在两处以上细节错误一致；</w:t>
      </w:r>
    </w:p>
    <w:p w14:paraId="05ECFCF3">
      <w:pPr>
        <w:pageBreakBefore w:val="0"/>
        <w:widowControl w:val="0"/>
        <w:kinsoku/>
        <w:wordWrap/>
        <w:overflowPunct/>
        <w:topLinePunct w:val="0"/>
        <w:autoSpaceDE/>
        <w:autoSpaceDN/>
        <w:bidi w:val="0"/>
        <w:spacing w:line="360" w:lineRule="auto"/>
        <w:ind w:firstLine="850" w:firstLineChars="405"/>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（6）不同供应商的法定代表人、委托代理人、项目经理、项目负责人等由同一个单位缴纳社会保险或者领取报酬的；</w:t>
      </w:r>
    </w:p>
    <w:p w14:paraId="7540E958">
      <w:pPr>
        <w:pageBreakBefore w:val="0"/>
        <w:widowControl w:val="0"/>
        <w:kinsoku/>
        <w:wordWrap/>
        <w:overflowPunct/>
        <w:topLinePunct w:val="0"/>
        <w:autoSpaceDE/>
        <w:autoSpaceDN/>
        <w:bidi w:val="0"/>
        <w:spacing w:line="360" w:lineRule="auto"/>
        <w:ind w:firstLine="850" w:firstLineChars="405"/>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（7）不同供应商投标（响应）文件中法定代表人或者负责人签字出自同一人之手；</w:t>
      </w:r>
    </w:p>
    <w:p w14:paraId="1C6BB29B">
      <w:pPr>
        <w:pageBreakBefore w:val="0"/>
        <w:widowControl w:val="0"/>
        <w:kinsoku/>
        <w:wordWrap/>
        <w:overflowPunct/>
        <w:topLinePunct w:val="0"/>
        <w:autoSpaceDE/>
        <w:autoSpaceDN/>
        <w:bidi w:val="0"/>
        <w:spacing w:line="360" w:lineRule="auto"/>
        <w:ind w:firstLine="850" w:firstLineChars="405"/>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（8）其它涉嫌串通的情形。</w:t>
      </w:r>
    </w:p>
    <w:p w14:paraId="30EBEE1C">
      <w:pPr>
        <w:keepNext/>
        <w:keepLines/>
        <w:pageBreakBefore w:val="0"/>
        <w:widowControl w:val="0"/>
        <w:kinsoku/>
        <w:wordWrap/>
        <w:overflowPunct/>
        <w:topLinePunct w:val="0"/>
        <w:autoSpaceDE/>
        <w:autoSpaceDN/>
        <w:bidi w:val="0"/>
        <w:spacing w:line="360" w:lineRule="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751" w:name="_Toc135922575"/>
      <w:bookmarkStart w:id="752" w:name="_Toc135648937"/>
      <w:r>
        <w:rPr>
          <w:rFonts w:hint="eastAsia" w:ascii="宋体" w:hAnsi="宋体" w:eastAsia="宋体" w:cs="宋体"/>
          <w:b/>
          <w:bCs/>
          <w:color w:val="000000" w:themeColor="text1"/>
          <w:sz w:val="28"/>
          <w:szCs w:val="28"/>
          <w:highlight w:val="none"/>
          <w14:textFill>
            <w14:solidFill>
              <w14:schemeClr w14:val="tx1"/>
            </w14:solidFill>
          </w14:textFill>
        </w:rPr>
        <w:t>3.2 详细评审</w:t>
      </w:r>
      <w:bookmarkEnd w:id="751"/>
      <w:bookmarkEnd w:id="752"/>
    </w:p>
    <w:p w14:paraId="29889206">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3.2.1 评标委员会按本章第</w:t>
      </w:r>
      <w:r>
        <w:rPr>
          <w:rFonts w:hint="eastAsia" w:ascii="宋体" w:hAnsi="宋体" w:eastAsia="宋体" w:cs="宋体"/>
          <w:color w:val="000000" w:themeColor="text1"/>
          <w:szCs w:val="24"/>
          <w:highlight w:val="none"/>
          <w:lang w:val="en-US" w:eastAsia="zh-CN"/>
          <w14:textFill>
            <w14:solidFill>
              <w14:schemeClr w14:val="tx1"/>
            </w14:solidFill>
          </w14:textFill>
        </w:rPr>
        <w:t>4</w:t>
      </w:r>
      <w:r>
        <w:rPr>
          <w:rFonts w:hint="eastAsia" w:ascii="宋体" w:hAnsi="宋体" w:eastAsia="宋体" w:cs="宋体"/>
          <w:color w:val="000000" w:themeColor="text1"/>
          <w:szCs w:val="24"/>
          <w:highlight w:val="none"/>
          <w14:textFill>
            <w14:solidFill>
              <w14:schemeClr w14:val="tx1"/>
            </w14:solidFill>
          </w14:textFill>
        </w:rPr>
        <w:t>款规定的量化因素和分值进行打分，并计算出综合评审得分。</w:t>
      </w:r>
    </w:p>
    <w:p w14:paraId="14B32A23">
      <w:pPr>
        <w:pageBreakBefore w:val="0"/>
        <w:widowControl w:val="0"/>
        <w:kinsoku/>
        <w:wordWrap/>
        <w:overflowPunct/>
        <w:topLinePunct w:val="0"/>
        <w:autoSpaceDE/>
        <w:autoSpaceDN/>
        <w:bidi w:val="0"/>
        <w:spacing w:line="360" w:lineRule="auto"/>
        <w:ind w:firstLine="718" w:firstLineChars="342"/>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（1）按本章第</w:t>
      </w:r>
      <w:r>
        <w:rPr>
          <w:rFonts w:hint="eastAsia" w:ascii="宋体" w:hAnsi="宋体" w:eastAsia="宋体" w:cs="宋体"/>
          <w:color w:val="000000" w:themeColor="text1"/>
          <w:szCs w:val="24"/>
          <w:highlight w:val="none"/>
          <w:lang w:val="en-US" w:eastAsia="zh-CN"/>
          <w14:textFill>
            <w14:solidFill>
              <w14:schemeClr w14:val="tx1"/>
            </w14:solidFill>
          </w14:textFill>
        </w:rPr>
        <w:t>4</w:t>
      </w:r>
      <w:r>
        <w:rPr>
          <w:rFonts w:hint="eastAsia" w:ascii="宋体" w:hAnsi="宋体" w:eastAsia="宋体" w:cs="宋体"/>
          <w:color w:val="000000" w:themeColor="text1"/>
          <w:szCs w:val="24"/>
          <w:highlight w:val="none"/>
          <w14:textFill>
            <w14:solidFill>
              <w14:schemeClr w14:val="tx1"/>
            </w14:solidFill>
          </w14:textFill>
        </w:rPr>
        <w:t>.1目规定的评审因素和分值对投标报价计算出得分A；</w:t>
      </w:r>
    </w:p>
    <w:p w14:paraId="4008A27B">
      <w:pPr>
        <w:pageBreakBefore w:val="0"/>
        <w:widowControl w:val="0"/>
        <w:kinsoku/>
        <w:wordWrap/>
        <w:overflowPunct/>
        <w:topLinePunct w:val="0"/>
        <w:autoSpaceDE/>
        <w:autoSpaceDN/>
        <w:bidi w:val="0"/>
        <w:spacing w:line="360" w:lineRule="auto"/>
        <w:ind w:firstLine="718" w:firstLineChars="342"/>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（2）按本章第</w:t>
      </w:r>
      <w:r>
        <w:rPr>
          <w:rFonts w:hint="eastAsia" w:ascii="宋体" w:hAnsi="宋体" w:eastAsia="宋体" w:cs="宋体"/>
          <w:color w:val="000000" w:themeColor="text1"/>
          <w:szCs w:val="24"/>
          <w:highlight w:val="none"/>
          <w:lang w:val="en-US" w:eastAsia="zh-CN"/>
          <w14:textFill>
            <w14:solidFill>
              <w14:schemeClr w14:val="tx1"/>
            </w14:solidFill>
          </w14:textFill>
        </w:rPr>
        <w:t>4</w:t>
      </w:r>
      <w:r>
        <w:rPr>
          <w:rFonts w:hint="eastAsia" w:ascii="宋体" w:hAnsi="宋体" w:eastAsia="宋体" w:cs="宋体"/>
          <w:color w:val="000000" w:themeColor="text1"/>
          <w:szCs w:val="24"/>
          <w:highlight w:val="none"/>
          <w14:textFill>
            <w14:solidFill>
              <w14:schemeClr w14:val="tx1"/>
            </w14:solidFill>
          </w14:textFill>
        </w:rPr>
        <w:t>.2目规定的评审因素和分值对技术标部分计算出得分B；</w:t>
      </w:r>
    </w:p>
    <w:p w14:paraId="083B3944">
      <w:pPr>
        <w:pageBreakBefore w:val="0"/>
        <w:widowControl w:val="0"/>
        <w:kinsoku/>
        <w:wordWrap/>
        <w:overflowPunct/>
        <w:topLinePunct w:val="0"/>
        <w:autoSpaceDE/>
        <w:autoSpaceDN/>
        <w:bidi w:val="0"/>
        <w:spacing w:line="360" w:lineRule="auto"/>
        <w:ind w:firstLine="718" w:firstLineChars="342"/>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（3）按本章第</w:t>
      </w:r>
      <w:r>
        <w:rPr>
          <w:rFonts w:hint="eastAsia" w:ascii="宋体" w:hAnsi="宋体" w:eastAsia="宋体" w:cs="宋体"/>
          <w:color w:val="000000" w:themeColor="text1"/>
          <w:szCs w:val="24"/>
          <w:highlight w:val="none"/>
          <w:lang w:val="en-US" w:eastAsia="zh-CN"/>
          <w14:textFill>
            <w14:solidFill>
              <w14:schemeClr w14:val="tx1"/>
            </w14:solidFill>
          </w14:textFill>
        </w:rPr>
        <w:t>4</w:t>
      </w:r>
      <w:r>
        <w:rPr>
          <w:rFonts w:hint="eastAsia" w:ascii="宋体" w:hAnsi="宋体" w:eastAsia="宋体" w:cs="宋体"/>
          <w:color w:val="000000" w:themeColor="text1"/>
          <w:szCs w:val="24"/>
          <w:highlight w:val="none"/>
          <w14:textFill>
            <w14:solidFill>
              <w14:schemeClr w14:val="tx1"/>
            </w14:solidFill>
          </w14:textFill>
        </w:rPr>
        <w:t>.3目规定的评审因素和分值对</w:t>
      </w:r>
      <w:r>
        <w:rPr>
          <w:rFonts w:hint="eastAsia" w:ascii="宋体" w:hAnsi="宋体" w:eastAsia="宋体" w:cs="宋体"/>
          <w:color w:val="000000" w:themeColor="text1"/>
          <w:szCs w:val="24"/>
          <w:highlight w:val="none"/>
          <w:lang w:eastAsia="zh-CN"/>
          <w14:textFill>
            <w14:solidFill>
              <w14:schemeClr w14:val="tx1"/>
            </w14:solidFill>
          </w14:textFill>
        </w:rPr>
        <w:t>综合部分</w:t>
      </w:r>
      <w:r>
        <w:rPr>
          <w:rFonts w:hint="eastAsia" w:ascii="宋体" w:hAnsi="宋体" w:eastAsia="宋体" w:cs="宋体"/>
          <w:color w:val="000000" w:themeColor="text1"/>
          <w:szCs w:val="24"/>
          <w:highlight w:val="none"/>
          <w14:textFill>
            <w14:solidFill>
              <w14:schemeClr w14:val="tx1"/>
            </w14:solidFill>
          </w14:textFill>
        </w:rPr>
        <w:t>计算出得分C；</w:t>
      </w:r>
    </w:p>
    <w:p w14:paraId="51208310">
      <w:pPr>
        <w:pageBreakBefore w:val="0"/>
        <w:widowControl w:val="0"/>
        <w:kinsoku/>
        <w:wordWrap/>
        <w:overflowPunct/>
        <w:topLinePunct w:val="0"/>
        <w:autoSpaceDE/>
        <w:autoSpaceDN/>
        <w:bidi w:val="0"/>
        <w:spacing w:line="360" w:lineRule="auto"/>
        <w:ind w:firstLine="424" w:firstLineChars="202"/>
        <w:jc w:val="lef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3.2.2 评分分值计算保留小数点后两位，小数点后第三位“四舍五入”。</w:t>
      </w:r>
    </w:p>
    <w:p w14:paraId="36F0ADA4">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3.2.3 投标人得分=A+B+C；投标人最终得分为所有评委打分汇总之后的算术平均值。</w:t>
      </w:r>
    </w:p>
    <w:p w14:paraId="1FD3ABF7">
      <w:pPr>
        <w:keepNext/>
        <w:keepLines/>
        <w:pageBreakBefore w:val="0"/>
        <w:widowControl w:val="0"/>
        <w:kinsoku/>
        <w:wordWrap/>
        <w:overflowPunct/>
        <w:topLinePunct w:val="0"/>
        <w:autoSpaceDE/>
        <w:autoSpaceDN/>
        <w:bidi w:val="0"/>
        <w:spacing w:line="360" w:lineRule="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753" w:name="_Toc135648938"/>
      <w:bookmarkStart w:id="754" w:name="_Toc135922576"/>
      <w:r>
        <w:rPr>
          <w:rFonts w:hint="eastAsia" w:ascii="宋体" w:hAnsi="宋体" w:eastAsia="宋体" w:cs="宋体"/>
          <w:b/>
          <w:bCs/>
          <w:color w:val="000000" w:themeColor="text1"/>
          <w:sz w:val="28"/>
          <w:szCs w:val="28"/>
          <w:highlight w:val="none"/>
          <w14:textFill>
            <w14:solidFill>
              <w14:schemeClr w14:val="tx1"/>
            </w14:solidFill>
          </w14:textFill>
        </w:rPr>
        <w:t>3.3 投标文件的澄清和补正</w:t>
      </w:r>
      <w:bookmarkEnd w:id="753"/>
      <w:bookmarkEnd w:id="754"/>
    </w:p>
    <w:p w14:paraId="28B7C86D">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3.3.1在评标过程中，评标委员会可以要求投标人对所提交投标文件中不明确的内容进行澄清或说明，或者对细微偏差进行补正。评标委员会不接受投标人主动提出的澄清、说明或补正。</w:t>
      </w:r>
    </w:p>
    <w:p w14:paraId="1D74E132">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3.3.2 澄清、说明和补正不得改变投标文件的实质性内容。投标人的澄清、说明和补正属于投标文件的组成部分。</w:t>
      </w:r>
    </w:p>
    <w:p w14:paraId="246618B0">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3.3.3 评标委员会对投标人提交的澄清、说明或补正有疑问的，可以要求投标人进一步澄清、说明或补正，直至满足评标委员会的要求。</w:t>
      </w:r>
    </w:p>
    <w:p w14:paraId="05DC47DB">
      <w:pPr>
        <w:keepNext/>
        <w:keepLines/>
        <w:pageBreakBefore w:val="0"/>
        <w:widowControl w:val="0"/>
        <w:kinsoku/>
        <w:wordWrap/>
        <w:overflowPunct/>
        <w:topLinePunct w:val="0"/>
        <w:autoSpaceDE/>
        <w:autoSpaceDN/>
        <w:bidi w:val="0"/>
        <w:spacing w:line="360" w:lineRule="auto"/>
        <w:outlineLvl w:val="3"/>
        <w:rPr>
          <w:rFonts w:hint="eastAsia" w:ascii="宋体" w:hAnsi="宋体" w:eastAsia="宋体" w:cs="宋体"/>
          <w:b/>
          <w:bCs/>
          <w:color w:val="000000" w:themeColor="text1"/>
          <w:sz w:val="28"/>
          <w:szCs w:val="28"/>
          <w:highlight w:val="none"/>
          <w14:textFill>
            <w14:solidFill>
              <w14:schemeClr w14:val="tx1"/>
            </w14:solidFill>
          </w14:textFill>
        </w:rPr>
      </w:pPr>
      <w:bookmarkStart w:id="755" w:name="_Toc135922577"/>
      <w:bookmarkStart w:id="756" w:name="_Toc135648939"/>
      <w:r>
        <w:rPr>
          <w:rFonts w:hint="eastAsia" w:ascii="宋体" w:hAnsi="宋体" w:eastAsia="宋体" w:cs="宋体"/>
          <w:b/>
          <w:bCs/>
          <w:color w:val="000000" w:themeColor="text1"/>
          <w:sz w:val="28"/>
          <w:szCs w:val="28"/>
          <w:highlight w:val="none"/>
          <w14:textFill>
            <w14:solidFill>
              <w14:schemeClr w14:val="tx1"/>
            </w14:solidFill>
          </w14:textFill>
        </w:rPr>
        <w:t>3.4 评标结果</w:t>
      </w:r>
      <w:bookmarkEnd w:id="755"/>
      <w:bookmarkEnd w:id="756"/>
    </w:p>
    <w:p w14:paraId="5A01635A">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3.4.1除第二章“投标人须知”前附表授权直接确定中标人外，评标委员会按照得分由高到低的顺序推荐中标候选人。</w:t>
      </w:r>
    </w:p>
    <w:p w14:paraId="398CCA56">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3.4.2 评标委员会完成评标后，应当向采购人提交书面评标报告。评标委员会成员对需要共同认定的事项存在争议的，应当按照少数服从多数的原则作出结论。持不同意见的评标委员会成员应当在评标报告上签署不同意见及理由，否则视为同意评标报告。</w:t>
      </w:r>
    </w:p>
    <w:p w14:paraId="6347677D">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3.4.3 在招标采购中，出现下列情形之一的，应予废标:</w:t>
      </w:r>
    </w:p>
    <w:p w14:paraId="4AB09584">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（一）符合专业条件的供应商或者对招标文件作实质响应的供应商不足三家的；</w:t>
      </w:r>
    </w:p>
    <w:p w14:paraId="2668FA8A">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（二）出现影响采购公正的违法、违规行为的；</w:t>
      </w:r>
    </w:p>
    <w:p w14:paraId="249415A0">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（三）投标人的报价均超过了采购预算，采购人不能支付的；</w:t>
      </w:r>
    </w:p>
    <w:p w14:paraId="1E1C7040">
      <w:pPr>
        <w:pageBreakBefore w:val="0"/>
        <w:widowControl w:val="0"/>
        <w:kinsoku/>
        <w:wordWrap/>
        <w:overflowPunct/>
        <w:topLinePunct w:val="0"/>
        <w:autoSpaceDE/>
        <w:autoSpaceDN/>
        <w:bidi w:val="0"/>
        <w:spacing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sectPr>
          <w:footerReference r:id="rId5" w:type="first"/>
          <w:footerReference r:id="rId4" w:type="default"/>
          <w:pgSz w:w="11906" w:h="16838"/>
          <w:pgMar w:top="1134" w:right="1134" w:bottom="1417" w:left="1417" w:header="851" w:footer="992" w:gutter="0"/>
          <w:pgNumType w:fmt="decimal" w:start="1"/>
          <w:cols w:space="720" w:num="1"/>
          <w:titlePg/>
          <w:docGrid w:linePitch="286" w:charSpace="0"/>
        </w:sectPr>
      </w:pPr>
      <w:r>
        <w:rPr>
          <w:rFonts w:hint="eastAsia" w:ascii="宋体" w:hAnsi="宋体" w:eastAsia="宋体" w:cs="宋体"/>
          <w:color w:val="000000" w:themeColor="text1"/>
          <w:szCs w:val="24"/>
          <w:highlight w:val="none"/>
          <w14:textFill>
            <w14:solidFill>
              <w14:schemeClr w14:val="tx1"/>
            </w14:solidFill>
          </w14:textFill>
        </w:rPr>
        <w:t>　　（四）因重大变故，采购任务取消的。</w:t>
      </w:r>
    </w:p>
    <w:p w14:paraId="0F2AC609">
      <w:pPr>
        <w:pStyle w:val="3"/>
        <w:bidi w:val="0"/>
        <w:rPr>
          <w:rFonts w:hint="eastAsia"/>
          <w:color w:val="000000" w:themeColor="text1"/>
          <w:sz w:val="32"/>
          <w:szCs w:val="32"/>
          <w14:textFill>
            <w14:solidFill>
              <w14:schemeClr w14:val="tx1"/>
            </w14:solidFill>
          </w14:textFill>
        </w:rPr>
      </w:pPr>
      <w:bookmarkStart w:id="757" w:name="_Toc135922578"/>
      <w:bookmarkStart w:id="758" w:name="_Toc23104"/>
      <w:r>
        <w:rPr>
          <w:rFonts w:hint="eastAsia"/>
          <w:color w:val="000000" w:themeColor="text1"/>
          <w:sz w:val="32"/>
          <w:szCs w:val="32"/>
          <w14:textFill>
            <w14:solidFill>
              <w14:schemeClr w14:val="tx1"/>
            </w14:solidFill>
          </w14:textFill>
        </w:rPr>
        <w:t>第四章  采购内容及要求</w:t>
      </w:r>
      <w:bookmarkEnd w:id="728"/>
      <w:bookmarkEnd w:id="729"/>
      <w:bookmarkEnd w:id="730"/>
      <w:bookmarkEnd w:id="731"/>
      <w:bookmarkEnd w:id="732"/>
      <w:bookmarkEnd w:id="733"/>
      <w:bookmarkEnd w:id="734"/>
      <w:bookmarkEnd w:id="757"/>
      <w:bookmarkEnd w:id="758"/>
    </w:p>
    <w:p w14:paraId="58CC077E">
      <w:pPr>
        <w:rPr>
          <w:rFonts w:hint="eastAsia"/>
          <w:color w:val="000000" w:themeColor="text1"/>
          <w14:textFill>
            <w14:solidFill>
              <w14:schemeClr w14:val="tx1"/>
            </w14:solidFill>
          </w14:textFill>
        </w:rPr>
      </w:pPr>
    </w:p>
    <w:tbl>
      <w:tblPr>
        <w:tblStyle w:val="18"/>
        <w:tblW w:w="94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1"/>
        <w:gridCol w:w="1841"/>
        <w:gridCol w:w="5033"/>
        <w:gridCol w:w="927"/>
        <w:gridCol w:w="858"/>
      </w:tblGrid>
      <w:tr w14:paraId="115A4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jc w:val="center"/>
        </w:trPr>
        <w:tc>
          <w:tcPr>
            <w:tcW w:w="79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D50A492">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u w:val="none"/>
                <w14:textFill>
                  <w14:solidFill>
                    <w14:schemeClr w14:val="tx1"/>
                  </w14:solidFill>
                </w14:textFill>
              </w:rPr>
            </w:pPr>
            <w:r>
              <w:rPr>
                <w:rFonts w:hint="eastAsia" w:ascii="宋体" w:hAnsi="宋体" w:eastAsia="宋体" w:cs="宋体"/>
                <w:b/>
                <w:bCs/>
                <w:i w:val="0"/>
                <w:iCs w:val="0"/>
                <w:color w:val="000000" w:themeColor="text1"/>
                <w:kern w:val="0"/>
                <w:sz w:val="18"/>
                <w:szCs w:val="18"/>
                <w:u w:val="none"/>
                <w:lang w:val="en-US" w:eastAsia="zh-CN" w:bidi="ar"/>
                <w14:textFill>
                  <w14:solidFill>
                    <w14:schemeClr w14:val="tx1"/>
                  </w14:solidFill>
                </w14:textFill>
              </w:rPr>
              <w:t>序号</w:t>
            </w:r>
          </w:p>
        </w:tc>
        <w:tc>
          <w:tcPr>
            <w:tcW w:w="1841" w:type="dxa"/>
            <w:tcBorders>
              <w:top w:val="single" w:color="000000" w:sz="8" w:space="0"/>
              <w:left w:val="nil"/>
              <w:bottom w:val="single" w:color="000000" w:sz="8" w:space="0"/>
              <w:right w:val="single" w:color="000000" w:sz="8" w:space="0"/>
            </w:tcBorders>
            <w:shd w:val="clear" w:color="auto" w:fill="auto"/>
            <w:noWrap/>
            <w:vAlign w:val="center"/>
          </w:tcPr>
          <w:p w14:paraId="2D3CC196">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u w:val="none"/>
                <w14:textFill>
                  <w14:solidFill>
                    <w14:schemeClr w14:val="tx1"/>
                  </w14:solidFill>
                </w14:textFill>
              </w:rPr>
            </w:pPr>
            <w:r>
              <w:rPr>
                <w:rFonts w:hint="eastAsia" w:ascii="宋体" w:hAnsi="宋体" w:eastAsia="宋体" w:cs="宋体"/>
                <w:b/>
                <w:bCs/>
                <w:i w:val="0"/>
                <w:iCs w:val="0"/>
                <w:color w:val="000000" w:themeColor="text1"/>
                <w:kern w:val="0"/>
                <w:sz w:val="18"/>
                <w:szCs w:val="18"/>
                <w:u w:val="none"/>
                <w:lang w:val="en-US" w:eastAsia="zh-CN" w:bidi="ar"/>
                <w14:textFill>
                  <w14:solidFill>
                    <w14:schemeClr w14:val="tx1"/>
                  </w14:solidFill>
                </w14:textFill>
              </w:rPr>
              <w:t>设备名称</w:t>
            </w:r>
          </w:p>
        </w:tc>
        <w:tc>
          <w:tcPr>
            <w:tcW w:w="5033" w:type="dxa"/>
            <w:tcBorders>
              <w:top w:val="single" w:color="000000" w:sz="8" w:space="0"/>
              <w:left w:val="nil"/>
              <w:bottom w:val="single" w:color="000000" w:sz="8" w:space="0"/>
              <w:right w:val="single" w:color="000000" w:sz="8" w:space="0"/>
            </w:tcBorders>
            <w:shd w:val="clear" w:color="auto" w:fill="auto"/>
            <w:vAlign w:val="center"/>
          </w:tcPr>
          <w:p w14:paraId="2E278CA1">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u w:val="none"/>
                <w14:textFill>
                  <w14:solidFill>
                    <w14:schemeClr w14:val="tx1"/>
                  </w14:solidFill>
                </w14:textFill>
              </w:rPr>
            </w:pPr>
            <w:r>
              <w:rPr>
                <w:rFonts w:hint="eastAsia" w:ascii="宋体" w:hAnsi="宋体" w:eastAsia="宋体" w:cs="宋体"/>
                <w:b/>
                <w:bCs/>
                <w:i w:val="0"/>
                <w:iCs w:val="0"/>
                <w:color w:val="000000" w:themeColor="text1"/>
                <w:kern w:val="0"/>
                <w:sz w:val="18"/>
                <w:szCs w:val="18"/>
                <w:u w:val="none"/>
                <w:lang w:val="en-US" w:eastAsia="zh-CN" w:bidi="ar"/>
                <w14:textFill>
                  <w14:solidFill>
                    <w14:schemeClr w14:val="tx1"/>
                  </w14:solidFill>
                </w14:textFill>
              </w:rPr>
              <w:t>参数</w:t>
            </w:r>
          </w:p>
        </w:tc>
        <w:tc>
          <w:tcPr>
            <w:tcW w:w="927" w:type="dxa"/>
            <w:tcBorders>
              <w:top w:val="single" w:color="000000" w:sz="8" w:space="0"/>
              <w:left w:val="nil"/>
              <w:bottom w:val="single" w:color="000000" w:sz="8" w:space="0"/>
              <w:right w:val="single" w:color="000000" w:sz="8" w:space="0"/>
            </w:tcBorders>
            <w:shd w:val="clear" w:color="auto" w:fill="auto"/>
            <w:noWrap/>
            <w:vAlign w:val="center"/>
          </w:tcPr>
          <w:p w14:paraId="09F52AA4">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u w:val="none"/>
                <w14:textFill>
                  <w14:solidFill>
                    <w14:schemeClr w14:val="tx1"/>
                  </w14:solidFill>
                </w14:textFill>
              </w:rPr>
            </w:pPr>
            <w:r>
              <w:rPr>
                <w:rFonts w:hint="eastAsia" w:ascii="宋体" w:hAnsi="宋体" w:eastAsia="宋体" w:cs="宋体"/>
                <w:b/>
                <w:bCs/>
                <w:i w:val="0"/>
                <w:iCs w:val="0"/>
                <w:color w:val="000000" w:themeColor="text1"/>
                <w:kern w:val="0"/>
                <w:sz w:val="18"/>
                <w:szCs w:val="18"/>
                <w:u w:val="none"/>
                <w:lang w:val="en-US" w:eastAsia="zh-CN" w:bidi="ar"/>
                <w14:textFill>
                  <w14:solidFill>
                    <w14:schemeClr w14:val="tx1"/>
                  </w14:solidFill>
                </w14:textFill>
              </w:rPr>
              <w:t>数量</w:t>
            </w:r>
          </w:p>
        </w:tc>
        <w:tc>
          <w:tcPr>
            <w:tcW w:w="858" w:type="dxa"/>
            <w:tcBorders>
              <w:top w:val="single" w:color="000000" w:sz="8" w:space="0"/>
              <w:left w:val="nil"/>
              <w:bottom w:val="single" w:color="000000" w:sz="8" w:space="0"/>
              <w:right w:val="single" w:color="000000" w:sz="8" w:space="0"/>
            </w:tcBorders>
            <w:shd w:val="clear" w:color="auto" w:fill="auto"/>
            <w:noWrap/>
            <w:vAlign w:val="center"/>
          </w:tcPr>
          <w:p w14:paraId="298E23D3">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u w:val="none"/>
                <w14:textFill>
                  <w14:solidFill>
                    <w14:schemeClr w14:val="tx1"/>
                  </w14:solidFill>
                </w14:textFill>
              </w:rPr>
            </w:pPr>
            <w:r>
              <w:rPr>
                <w:rFonts w:hint="eastAsia" w:ascii="宋体" w:hAnsi="宋体" w:eastAsia="宋体" w:cs="宋体"/>
                <w:b/>
                <w:bCs/>
                <w:i w:val="0"/>
                <w:iCs w:val="0"/>
                <w:color w:val="000000" w:themeColor="text1"/>
                <w:kern w:val="0"/>
                <w:sz w:val="18"/>
                <w:szCs w:val="18"/>
                <w:u w:val="none"/>
                <w:lang w:val="en-US" w:eastAsia="zh-CN" w:bidi="ar"/>
                <w14:textFill>
                  <w14:solidFill>
                    <w14:schemeClr w14:val="tx1"/>
                  </w14:solidFill>
                </w14:textFill>
              </w:rPr>
              <w:t>单位</w:t>
            </w:r>
          </w:p>
        </w:tc>
      </w:tr>
      <w:tr w14:paraId="1E199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jc w:val="center"/>
        </w:trPr>
        <w:tc>
          <w:tcPr>
            <w:tcW w:w="0" w:type="auto"/>
            <w:vMerge w:val="restart"/>
            <w:tcBorders>
              <w:top w:val="nil"/>
              <w:left w:val="single" w:color="000000" w:sz="8" w:space="0"/>
              <w:bottom w:val="single" w:color="000000" w:sz="8" w:space="0"/>
              <w:right w:val="single" w:color="000000" w:sz="8" w:space="0"/>
            </w:tcBorders>
            <w:shd w:val="clear" w:color="auto" w:fill="auto"/>
            <w:noWrap/>
            <w:vAlign w:val="center"/>
          </w:tcPr>
          <w:p w14:paraId="09845018">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10C85F12">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饲料加工机</w:t>
            </w:r>
          </w:p>
        </w:tc>
        <w:tc>
          <w:tcPr>
            <w:tcW w:w="5033" w:type="dxa"/>
            <w:tcBorders>
              <w:top w:val="nil"/>
              <w:left w:val="nil"/>
              <w:bottom w:val="nil"/>
              <w:right w:val="single" w:color="000000" w:sz="8" w:space="0"/>
            </w:tcBorders>
            <w:shd w:val="clear" w:color="auto" w:fill="auto"/>
            <w:vAlign w:val="center"/>
          </w:tcPr>
          <w:p w14:paraId="41A208BE">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1、粉碎机采用6毫米加厚钢板，更结实耐用；加大转子直径555mm，粉碎速度更快；配套动力18.5kw，在细粉碎筛网下也能保持超强动力；</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2E2DA97A">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0677FAD3">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r>
      <w:tr w14:paraId="55BFE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noWrap/>
            <w:vAlign w:val="center"/>
          </w:tcPr>
          <w:p w14:paraId="02F6680B">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17F7BC0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single" w:color="000000" w:sz="8" w:space="0"/>
              <w:right w:val="single" w:color="000000" w:sz="8" w:space="0"/>
            </w:tcBorders>
            <w:shd w:val="clear" w:color="auto" w:fill="auto"/>
            <w:vAlign w:val="center"/>
          </w:tcPr>
          <w:p w14:paraId="3133A36B">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2、配套4000公斤立式搅拌机，加厚板材板厚2.0毫米，配套动力5.5kw；整机直径2.2米，高度4.1米，充分保障混合均匀度。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3、粉碎机采用新型无尘吸料管，搅拌机采用脚踏式放料结构，一人即可操作，是一种集粉碎搅拌于一体的多功能饲料加工设备；广泛适用于养殖厂、饲料加工店等饲料生产领域。</w:t>
            </w:r>
          </w:p>
        </w:tc>
        <w:tc>
          <w:tcPr>
            <w:tcW w:w="0" w:type="auto"/>
            <w:vMerge w:val="continue"/>
            <w:tcBorders>
              <w:top w:val="nil"/>
              <w:left w:val="nil"/>
              <w:bottom w:val="single" w:color="000000" w:sz="8" w:space="0"/>
              <w:right w:val="single" w:color="000000" w:sz="8" w:space="0"/>
            </w:tcBorders>
            <w:shd w:val="clear" w:color="auto" w:fill="auto"/>
            <w:noWrap/>
            <w:vAlign w:val="center"/>
          </w:tcPr>
          <w:p w14:paraId="1C2A100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0C454628">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0F2CB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jc w:val="center"/>
        </w:trPr>
        <w:tc>
          <w:tcPr>
            <w:tcW w:w="0" w:type="auto"/>
            <w:vMerge w:val="restart"/>
            <w:tcBorders>
              <w:top w:val="nil"/>
              <w:left w:val="single" w:color="000000" w:sz="8" w:space="0"/>
              <w:bottom w:val="single" w:color="000000" w:sz="8" w:space="0"/>
              <w:right w:val="single" w:color="000000" w:sz="8" w:space="0"/>
            </w:tcBorders>
            <w:shd w:val="clear" w:color="auto" w:fill="auto"/>
            <w:noWrap/>
            <w:vAlign w:val="center"/>
          </w:tcPr>
          <w:p w14:paraId="32F06FEE">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27DBA3F2">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饲料加工机</w:t>
            </w:r>
          </w:p>
        </w:tc>
        <w:tc>
          <w:tcPr>
            <w:tcW w:w="5033" w:type="dxa"/>
            <w:tcBorders>
              <w:top w:val="nil"/>
              <w:left w:val="nil"/>
              <w:bottom w:val="nil"/>
              <w:right w:val="single" w:color="000000" w:sz="8" w:space="0"/>
            </w:tcBorders>
            <w:shd w:val="clear" w:color="auto" w:fill="auto"/>
            <w:vAlign w:val="center"/>
          </w:tcPr>
          <w:p w14:paraId="07A59D9E">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1、粉碎机采用6毫米加厚钢板，更结实耐用；加大转子直径555mm，粉碎速度更快；配套动力18.5kw，在细粉碎筛网下也能保持超强动力；</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53575460">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5B9710BA">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r>
      <w:tr w14:paraId="4403C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noWrap/>
            <w:vAlign w:val="center"/>
          </w:tcPr>
          <w:p w14:paraId="4BB17FCC">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20C327EA">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single" w:color="000000" w:sz="8" w:space="0"/>
              <w:right w:val="single" w:color="000000" w:sz="8" w:space="0"/>
            </w:tcBorders>
            <w:shd w:val="clear" w:color="auto" w:fill="auto"/>
            <w:vAlign w:val="center"/>
          </w:tcPr>
          <w:p w14:paraId="575498E1">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2、配套2000公斤立式搅拌机，加厚板材板厚1.8毫米，配套动力4.0kw；整机直径1.7米，高度3.1米，充分保障混合均匀度。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3、粉碎机采用新型无尘吸料管，搅拌机采用脚踏式放料结构，一人即可操作，是一种集粉碎搅拌于一体的多功能饲料加工设备；广泛适用于养殖厂、饲料加工店等饲料生产领域。</w:t>
            </w:r>
          </w:p>
        </w:tc>
        <w:tc>
          <w:tcPr>
            <w:tcW w:w="0" w:type="auto"/>
            <w:vMerge w:val="continue"/>
            <w:tcBorders>
              <w:top w:val="nil"/>
              <w:left w:val="nil"/>
              <w:bottom w:val="single" w:color="000000" w:sz="8" w:space="0"/>
              <w:right w:val="single" w:color="000000" w:sz="8" w:space="0"/>
            </w:tcBorders>
            <w:shd w:val="clear" w:color="auto" w:fill="auto"/>
            <w:noWrap/>
            <w:vAlign w:val="center"/>
          </w:tcPr>
          <w:p w14:paraId="1B414AF6">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4B9B130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70041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0" w:type="auto"/>
            <w:vMerge w:val="restart"/>
            <w:tcBorders>
              <w:top w:val="nil"/>
              <w:left w:val="single" w:color="000000" w:sz="8" w:space="0"/>
              <w:bottom w:val="single" w:color="000000" w:sz="8" w:space="0"/>
              <w:right w:val="single" w:color="000000" w:sz="8" w:space="0"/>
            </w:tcBorders>
            <w:shd w:val="clear" w:color="auto" w:fill="auto"/>
            <w:noWrap/>
            <w:vAlign w:val="center"/>
          </w:tcPr>
          <w:p w14:paraId="41FE8E05">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71E45718">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自走青贮取料机</w:t>
            </w:r>
          </w:p>
        </w:tc>
        <w:tc>
          <w:tcPr>
            <w:tcW w:w="5033" w:type="dxa"/>
            <w:tcBorders>
              <w:top w:val="nil"/>
              <w:left w:val="nil"/>
              <w:bottom w:val="nil"/>
              <w:right w:val="single" w:color="000000" w:sz="8" w:space="0"/>
            </w:tcBorders>
            <w:shd w:val="clear" w:color="auto" w:fill="auto"/>
            <w:vAlign w:val="center"/>
          </w:tcPr>
          <w:p w14:paraId="7C3DB690">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1、整机尺寸（长*宽*高）5.4*1.7*3.0米，取料高度6米，取料宽度1.4米，输送带宽度1米；</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667B8F33">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72E67875">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r>
      <w:tr w14:paraId="50D72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noWrap/>
            <w:vAlign w:val="center"/>
          </w:tcPr>
          <w:p w14:paraId="206D6C3A">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390DB03B">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nil"/>
              <w:right w:val="single" w:color="000000" w:sz="8" w:space="0"/>
            </w:tcBorders>
            <w:shd w:val="clear" w:color="auto" w:fill="auto"/>
            <w:vAlign w:val="center"/>
          </w:tcPr>
          <w:p w14:paraId="6D9CB857">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2、输入电压：380V，滚刀电机功率7.5kw，输送电机功率2.2kw，行走电机功率2.2kw，液压油泵电机功率3kw；</w:t>
            </w:r>
          </w:p>
        </w:tc>
        <w:tc>
          <w:tcPr>
            <w:tcW w:w="0" w:type="auto"/>
            <w:vMerge w:val="continue"/>
            <w:tcBorders>
              <w:top w:val="nil"/>
              <w:left w:val="nil"/>
              <w:bottom w:val="single" w:color="000000" w:sz="8" w:space="0"/>
              <w:right w:val="single" w:color="000000" w:sz="8" w:space="0"/>
            </w:tcBorders>
            <w:shd w:val="clear" w:color="auto" w:fill="auto"/>
            <w:noWrap/>
            <w:vAlign w:val="center"/>
          </w:tcPr>
          <w:p w14:paraId="6DAF343B">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22175E22">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18C34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noWrap/>
            <w:vAlign w:val="center"/>
          </w:tcPr>
          <w:p w14:paraId="026BDEE8">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5A1DFE7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single" w:color="000000" w:sz="8" w:space="0"/>
              <w:right w:val="single" w:color="000000" w:sz="8" w:space="0"/>
            </w:tcBorders>
            <w:shd w:val="clear" w:color="auto" w:fill="auto"/>
            <w:vAlign w:val="center"/>
          </w:tcPr>
          <w:p w14:paraId="4D3B9CD3">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3、性能特点：取料截面整齐严密，减少青贮饲料养分流失；取料输送过程，使青贮饲料得到充分搅拌，养分分布更均匀；自走式设计，电力、液压驱动，操作简便快捷。</w:t>
            </w:r>
          </w:p>
        </w:tc>
        <w:tc>
          <w:tcPr>
            <w:tcW w:w="0" w:type="auto"/>
            <w:vMerge w:val="continue"/>
            <w:tcBorders>
              <w:top w:val="nil"/>
              <w:left w:val="nil"/>
              <w:bottom w:val="single" w:color="000000" w:sz="8" w:space="0"/>
              <w:right w:val="single" w:color="000000" w:sz="8" w:space="0"/>
            </w:tcBorders>
            <w:shd w:val="clear" w:color="auto" w:fill="auto"/>
            <w:noWrap/>
            <w:vAlign w:val="center"/>
          </w:tcPr>
          <w:p w14:paraId="225235D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49691C49">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1C63A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0" w:type="auto"/>
            <w:vMerge w:val="restart"/>
            <w:tcBorders>
              <w:top w:val="nil"/>
              <w:left w:val="single" w:color="000000" w:sz="8" w:space="0"/>
              <w:bottom w:val="single" w:color="000000" w:sz="8" w:space="0"/>
              <w:right w:val="single" w:color="000000" w:sz="8" w:space="0"/>
            </w:tcBorders>
            <w:shd w:val="clear" w:color="auto" w:fill="auto"/>
            <w:noWrap/>
            <w:vAlign w:val="center"/>
          </w:tcPr>
          <w:p w14:paraId="36871E00">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0F1D765A">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双组TMR</w:t>
            </w:r>
          </w:p>
        </w:tc>
        <w:tc>
          <w:tcPr>
            <w:tcW w:w="5033" w:type="dxa"/>
            <w:tcBorders>
              <w:top w:val="nil"/>
              <w:left w:val="nil"/>
              <w:bottom w:val="nil"/>
              <w:right w:val="single" w:color="000000" w:sz="8" w:space="0"/>
            </w:tcBorders>
            <w:shd w:val="clear" w:color="auto" w:fill="auto"/>
            <w:vAlign w:val="center"/>
          </w:tcPr>
          <w:p w14:paraId="2E6F00DA">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1、整机尺寸（长*宽*高）6.8*2.5*3米，电机：37*2=74kw；</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65CE8E76">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42804C93">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r>
      <w:tr w14:paraId="737C0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0"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noWrap/>
            <w:vAlign w:val="center"/>
          </w:tcPr>
          <w:p w14:paraId="52F80B45">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0017B854">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single" w:color="000000" w:sz="8" w:space="0"/>
              <w:right w:val="single" w:color="000000" w:sz="8" w:space="0"/>
            </w:tcBorders>
            <w:shd w:val="clear" w:color="auto" w:fill="auto"/>
            <w:vAlign w:val="center"/>
          </w:tcPr>
          <w:p w14:paraId="4D5C69AE">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性能特点：混合机箱体呈立桶形，能有效避免残料死角，仓体磨损少，使用寿命长；箱体内部装塔式螺旋绞龙，可以快速将各种秸秆、方草捆切割揉丝；桶壁设计有可伸缩的底刀，可任意控制切割草料的长短。</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3、设备操作灵活简单、省人工，运行稳定、维修方便，可将多种物料一次彻底粉碎搅拌均匀。</w:t>
            </w:r>
          </w:p>
        </w:tc>
        <w:tc>
          <w:tcPr>
            <w:tcW w:w="0" w:type="auto"/>
            <w:vMerge w:val="continue"/>
            <w:tcBorders>
              <w:top w:val="nil"/>
              <w:left w:val="nil"/>
              <w:bottom w:val="single" w:color="000000" w:sz="8" w:space="0"/>
              <w:right w:val="single" w:color="000000" w:sz="8" w:space="0"/>
            </w:tcBorders>
            <w:shd w:val="clear" w:color="auto" w:fill="auto"/>
            <w:noWrap/>
            <w:vAlign w:val="center"/>
          </w:tcPr>
          <w:p w14:paraId="21197206">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444F0329">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1FAA3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0" w:type="auto"/>
            <w:vMerge w:val="restart"/>
            <w:tcBorders>
              <w:top w:val="nil"/>
              <w:left w:val="single" w:color="000000" w:sz="8" w:space="0"/>
              <w:bottom w:val="single" w:color="000000" w:sz="8" w:space="0"/>
              <w:right w:val="single" w:color="000000" w:sz="8" w:space="0"/>
            </w:tcBorders>
            <w:shd w:val="clear" w:color="auto" w:fill="auto"/>
            <w:noWrap/>
            <w:vAlign w:val="center"/>
          </w:tcPr>
          <w:p w14:paraId="181DA496">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47933C2E">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单组TMR</w:t>
            </w:r>
          </w:p>
        </w:tc>
        <w:tc>
          <w:tcPr>
            <w:tcW w:w="5033" w:type="dxa"/>
            <w:tcBorders>
              <w:top w:val="nil"/>
              <w:left w:val="nil"/>
              <w:bottom w:val="nil"/>
              <w:right w:val="single" w:color="000000" w:sz="8" w:space="0"/>
            </w:tcBorders>
            <w:shd w:val="clear" w:color="auto" w:fill="auto"/>
            <w:vAlign w:val="center"/>
          </w:tcPr>
          <w:p w14:paraId="3E7D5656">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1、整机尺寸（长*宽*高）4*2.25*2.7米，电机：37kw；</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07DB7484">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7366C69A">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r>
      <w:tr w14:paraId="235D3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jc w:val="center"/>
        </w:trPr>
        <w:tc>
          <w:tcPr>
            <w:tcW w:w="0" w:type="auto"/>
            <w:vMerge w:val="continue"/>
            <w:tcBorders>
              <w:top w:val="nil"/>
              <w:left w:val="single" w:color="000000" w:sz="8" w:space="0"/>
              <w:bottom w:val="single" w:color="auto" w:sz="4" w:space="0"/>
              <w:right w:val="single" w:color="000000" w:sz="8" w:space="0"/>
            </w:tcBorders>
            <w:shd w:val="clear" w:color="auto" w:fill="auto"/>
            <w:noWrap/>
            <w:vAlign w:val="center"/>
          </w:tcPr>
          <w:p w14:paraId="6568C8CB">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auto" w:sz="4" w:space="0"/>
              <w:right w:val="single" w:color="000000" w:sz="8" w:space="0"/>
            </w:tcBorders>
            <w:shd w:val="clear" w:color="auto" w:fill="auto"/>
            <w:noWrap/>
            <w:vAlign w:val="center"/>
          </w:tcPr>
          <w:p w14:paraId="0C6D0AF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single" w:color="auto" w:sz="4" w:space="0"/>
              <w:right w:val="single" w:color="000000" w:sz="8" w:space="0"/>
            </w:tcBorders>
            <w:shd w:val="clear" w:color="auto" w:fill="auto"/>
            <w:vAlign w:val="center"/>
          </w:tcPr>
          <w:p w14:paraId="1FDCD636">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2、性能特点：能耗小、噪音低、维护方便、使用寿命长；锰钢材质的揉搓刀片，秸秆等粗纤维物料更容易切断；内部加厚加大刀轴采用多种刀片相结合，混合更均匀；设计加大加宽放料口，放料速度更快。</w:t>
            </w:r>
          </w:p>
        </w:tc>
        <w:tc>
          <w:tcPr>
            <w:tcW w:w="0" w:type="auto"/>
            <w:vMerge w:val="continue"/>
            <w:tcBorders>
              <w:top w:val="nil"/>
              <w:left w:val="nil"/>
              <w:bottom w:val="single" w:color="auto" w:sz="4" w:space="0"/>
              <w:right w:val="single" w:color="000000" w:sz="8" w:space="0"/>
            </w:tcBorders>
            <w:shd w:val="clear" w:color="auto" w:fill="auto"/>
            <w:noWrap/>
            <w:vAlign w:val="center"/>
          </w:tcPr>
          <w:p w14:paraId="21A974CC">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auto" w:sz="4" w:space="0"/>
              <w:right w:val="single" w:color="000000" w:sz="8" w:space="0"/>
            </w:tcBorders>
            <w:shd w:val="clear" w:color="auto" w:fill="auto"/>
            <w:noWrap/>
            <w:vAlign w:val="center"/>
          </w:tcPr>
          <w:p w14:paraId="2B2BA5BA">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2092D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0" w:type="auto"/>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56783B7">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w:t>
            </w: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A71DA5C">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智能肉牛称重机</w:t>
            </w:r>
          </w:p>
        </w:tc>
        <w:tc>
          <w:tcPr>
            <w:tcW w:w="5033" w:type="dxa"/>
            <w:tcBorders>
              <w:top w:val="single" w:color="auto" w:sz="4" w:space="0"/>
              <w:left w:val="single" w:color="auto" w:sz="4" w:space="0"/>
              <w:bottom w:val="single" w:color="auto" w:sz="4" w:space="0"/>
              <w:right w:val="single" w:color="auto" w:sz="4" w:space="0"/>
            </w:tcBorders>
            <w:shd w:val="clear" w:color="auto" w:fill="auto"/>
            <w:vAlign w:val="center"/>
          </w:tcPr>
          <w:p w14:paraId="6B91A15B">
            <w:pPr>
              <w:keepNext w:val="0"/>
              <w:keepLines w:val="0"/>
              <w:widowControl/>
              <w:suppressLineNumbers w:val="0"/>
              <w:jc w:val="both"/>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Style w:val="36"/>
                <w:color w:val="000000" w:themeColor="text1"/>
                <w:lang w:val="en-US" w:eastAsia="zh-CN" w:bidi="ar"/>
                <w14:textFill>
                  <w14:solidFill>
                    <w14:schemeClr w14:val="tx1"/>
                  </w14:solidFill>
                </w14:textFill>
              </w:rPr>
              <w:t>1、称重范围：</w:t>
            </w:r>
            <w:r>
              <w:rPr>
                <w:rStyle w:val="37"/>
                <w:rFonts w:eastAsia="宋体"/>
                <w:color w:val="000000" w:themeColor="text1"/>
                <w:lang w:val="en-US" w:eastAsia="zh-CN" w:bidi="ar"/>
                <w14:textFill>
                  <w14:solidFill>
                    <w14:schemeClr w14:val="tx1"/>
                  </w14:solidFill>
                </w14:textFill>
              </w:rPr>
              <w:t>0~2000KG</w:t>
            </w: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7F6B553">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w:t>
            </w: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3D3E9AF">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套</w:t>
            </w:r>
          </w:p>
        </w:tc>
      </w:tr>
      <w:tr w14:paraId="37C11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2B2A004">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6F9D410">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single" w:color="auto" w:sz="4" w:space="0"/>
              <w:bottom w:val="single" w:color="auto" w:sz="4" w:space="0"/>
              <w:right w:val="single" w:color="auto" w:sz="4" w:space="0"/>
            </w:tcBorders>
            <w:shd w:val="clear" w:color="auto" w:fill="auto"/>
            <w:vAlign w:val="center"/>
          </w:tcPr>
          <w:p w14:paraId="5C4DDF95">
            <w:pPr>
              <w:keepNext w:val="0"/>
              <w:keepLines w:val="0"/>
              <w:widowControl/>
              <w:suppressLineNumbers w:val="0"/>
              <w:jc w:val="both"/>
              <w:textAlignment w:val="center"/>
              <w:rPr>
                <w:rFonts w:hint="default" w:ascii="Calibri" w:hAnsi="Calibri" w:eastAsia="宋体" w:cs="Calibri"/>
                <w:i w:val="0"/>
                <w:iCs w:val="0"/>
                <w:color w:val="000000" w:themeColor="text1"/>
                <w:sz w:val="18"/>
                <w:szCs w:val="18"/>
                <w:u w:val="none"/>
                <w14:textFill>
                  <w14:solidFill>
                    <w14:schemeClr w14:val="tx1"/>
                  </w14:solidFill>
                </w14:textFill>
              </w:rPr>
            </w:pPr>
            <w:r>
              <w:rPr>
                <w:rStyle w:val="37"/>
                <w:rFonts w:eastAsia="宋体"/>
                <w:color w:val="000000" w:themeColor="text1"/>
                <w:lang w:val="en-US" w:eastAsia="zh-CN" w:bidi="ar"/>
                <w14:textFill>
                  <w14:solidFill>
                    <w14:schemeClr w14:val="tx1"/>
                  </w14:solidFill>
                </w14:textFill>
              </w:rPr>
              <w:t>2</w:t>
            </w:r>
            <w:r>
              <w:rPr>
                <w:rStyle w:val="36"/>
                <w:color w:val="000000" w:themeColor="text1"/>
                <w:lang w:val="en-US" w:eastAsia="zh-CN" w:bidi="ar"/>
                <w14:textFill>
                  <w14:solidFill>
                    <w14:schemeClr w14:val="tx1"/>
                  </w14:solidFill>
                </w14:textFill>
              </w:rPr>
              <w:t>、精度值：±</w:t>
            </w:r>
            <w:r>
              <w:rPr>
                <w:rStyle w:val="37"/>
                <w:rFonts w:eastAsia="宋体"/>
                <w:color w:val="000000" w:themeColor="text1"/>
                <w:lang w:val="en-US" w:eastAsia="zh-CN" w:bidi="ar"/>
                <w14:textFill>
                  <w14:solidFill>
                    <w14:schemeClr w14:val="tx1"/>
                  </w14:solidFill>
                </w14:textFill>
              </w:rPr>
              <w:t>500g</w:t>
            </w:r>
            <w:r>
              <w:rPr>
                <w:rStyle w:val="36"/>
                <w:color w:val="000000" w:themeColor="text1"/>
                <w:lang w:val="en-US" w:eastAsia="zh-CN" w:bidi="ar"/>
                <w14:textFill>
                  <w14:solidFill>
                    <w14:schemeClr w14:val="tx1"/>
                  </w14:solidFill>
                </w14:textFill>
              </w:rPr>
              <w:t>，系统自动称量出的重量，与该牛只全麻醉后的静态重量比较</w:t>
            </w:r>
            <w:r>
              <w:rPr>
                <w:rStyle w:val="37"/>
                <w:rFonts w:eastAsia="宋体"/>
                <w:color w:val="000000" w:themeColor="text1"/>
                <w:lang w:val="en-US" w:eastAsia="zh-CN" w:bidi="ar"/>
                <w14:textFill>
                  <w14:solidFill>
                    <w14:schemeClr w14:val="tx1"/>
                  </w14:solidFill>
                </w14:textFill>
              </w:rPr>
              <w:t>,</w:t>
            </w:r>
            <w:r>
              <w:rPr>
                <w:rStyle w:val="36"/>
                <w:color w:val="000000" w:themeColor="text1"/>
                <w:lang w:val="en-US" w:eastAsia="zh-CN" w:bidi="ar"/>
                <w14:textFill>
                  <w14:solidFill>
                    <w14:schemeClr w14:val="tx1"/>
                  </w14:solidFill>
                </w14:textFill>
              </w:rPr>
              <w:t>误差不超过千分之一，内置活畜动态称重算法，可在</w:t>
            </w:r>
            <w:r>
              <w:rPr>
                <w:rStyle w:val="37"/>
                <w:rFonts w:eastAsia="宋体"/>
                <w:color w:val="000000" w:themeColor="text1"/>
                <w:lang w:val="en-US" w:eastAsia="zh-CN" w:bidi="ar"/>
                <w14:textFill>
                  <w14:solidFill>
                    <w14:schemeClr w14:val="tx1"/>
                  </w14:solidFill>
                </w14:textFill>
              </w:rPr>
              <w:t>3</w:t>
            </w:r>
            <w:r>
              <w:rPr>
                <w:rStyle w:val="36"/>
                <w:color w:val="000000" w:themeColor="text1"/>
                <w:lang w:val="en-US" w:eastAsia="zh-CN" w:bidi="ar"/>
                <w14:textFill>
                  <w14:solidFill>
                    <w14:schemeClr w14:val="tx1"/>
                  </w14:solidFill>
                </w14:textFill>
              </w:rPr>
              <w:t>秒内采集到牛只的真实体重值。</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357619F">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375869D6">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21AE7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jc w:val="center"/>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5729122">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8849636">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single" w:color="auto" w:sz="4" w:space="0"/>
              <w:bottom w:val="single" w:color="auto" w:sz="4" w:space="0"/>
              <w:right w:val="single" w:color="auto" w:sz="4" w:space="0"/>
            </w:tcBorders>
            <w:shd w:val="clear" w:color="auto" w:fill="auto"/>
            <w:vAlign w:val="center"/>
          </w:tcPr>
          <w:p w14:paraId="4F36F753">
            <w:pPr>
              <w:keepNext w:val="0"/>
              <w:keepLines w:val="0"/>
              <w:widowControl/>
              <w:suppressLineNumbers w:val="0"/>
              <w:ind w:firstLineChars="100"/>
              <w:jc w:val="both"/>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Style w:val="36"/>
                <w:color w:val="000000" w:themeColor="text1"/>
                <w:lang w:val="en-US" w:eastAsia="zh-CN" w:bidi="ar"/>
                <w14:textFill>
                  <w14:solidFill>
                    <w14:schemeClr w14:val="tx1"/>
                  </w14:solidFill>
                </w14:textFill>
              </w:rPr>
              <w:t>（测试方法：可通过人员进行精度验证。首先称量出人静止站立在秤上的重量，然后人员在秤上进行无规则的活动，仪表自动称量出重量，对比两个重量的差值可做到千分之一以内）；</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DDBED31">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1EE04DC">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2BB73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vMerge w:val="continue"/>
            <w:tcBorders>
              <w:top w:val="single" w:color="auto" w:sz="4" w:space="0"/>
              <w:left w:val="single" w:color="auto" w:sz="4" w:space="0"/>
              <w:bottom w:val="single" w:color="000000" w:sz="8" w:space="0"/>
              <w:right w:val="single" w:color="000000" w:sz="8" w:space="0"/>
            </w:tcBorders>
            <w:shd w:val="clear" w:color="auto" w:fill="auto"/>
            <w:noWrap/>
            <w:vAlign w:val="center"/>
          </w:tcPr>
          <w:p w14:paraId="5F494A48">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nil"/>
              <w:bottom w:val="single" w:color="000000" w:sz="8" w:space="0"/>
              <w:right w:val="single" w:color="000000" w:sz="8" w:space="0"/>
            </w:tcBorders>
            <w:shd w:val="clear" w:color="auto" w:fill="auto"/>
            <w:noWrap/>
            <w:vAlign w:val="center"/>
          </w:tcPr>
          <w:p w14:paraId="5CA55121">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nil"/>
              <w:bottom w:val="nil"/>
              <w:right w:val="single" w:color="000000" w:sz="8" w:space="0"/>
            </w:tcBorders>
            <w:shd w:val="clear" w:color="auto" w:fill="auto"/>
            <w:vAlign w:val="center"/>
          </w:tcPr>
          <w:p w14:paraId="3B0E85EF">
            <w:pPr>
              <w:keepNext w:val="0"/>
              <w:keepLines w:val="0"/>
              <w:widowControl/>
              <w:suppressLineNumbers w:val="0"/>
              <w:jc w:val="both"/>
              <w:textAlignment w:val="center"/>
              <w:rPr>
                <w:rFonts w:hint="default" w:ascii="Calibri" w:hAnsi="Calibri" w:eastAsia="宋体" w:cs="Calibri"/>
                <w:i w:val="0"/>
                <w:iCs w:val="0"/>
                <w:color w:val="000000" w:themeColor="text1"/>
                <w:sz w:val="18"/>
                <w:szCs w:val="18"/>
                <w:u w:val="none"/>
                <w14:textFill>
                  <w14:solidFill>
                    <w14:schemeClr w14:val="tx1"/>
                  </w14:solidFill>
                </w14:textFill>
              </w:rPr>
            </w:pPr>
            <w:r>
              <w:rPr>
                <w:rStyle w:val="37"/>
                <w:rFonts w:eastAsia="宋体"/>
                <w:color w:val="000000" w:themeColor="text1"/>
                <w:lang w:val="en-US" w:eastAsia="zh-CN" w:bidi="ar"/>
                <w14:textFill>
                  <w14:solidFill>
                    <w14:schemeClr w14:val="tx1"/>
                  </w14:solidFill>
                </w14:textFill>
              </w:rPr>
              <w:t>3</w:t>
            </w:r>
            <w:r>
              <w:rPr>
                <w:rStyle w:val="36"/>
                <w:color w:val="000000" w:themeColor="text1"/>
                <w:lang w:val="en-US" w:eastAsia="zh-CN" w:bidi="ar"/>
                <w14:textFill>
                  <w14:solidFill>
                    <w14:schemeClr w14:val="tx1"/>
                  </w14:solidFill>
                </w14:textFill>
              </w:rPr>
              <w:t>、围栏：饮水或采食时进入，采食完毕退出，下一头继续。</w:t>
            </w:r>
          </w:p>
        </w:tc>
        <w:tc>
          <w:tcPr>
            <w:tcW w:w="0" w:type="auto"/>
            <w:vMerge w:val="continue"/>
            <w:tcBorders>
              <w:top w:val="single" w:color="auto" w:sz="4" w:space="0"/>
              <w:left w:val="nil"/>
              <w:bottom w:val="single" w:color="000000" w:sz="8" w:space="0"/>
              <w:right w:val="single" w:color="000000" w:sz="8" w:space="0"/>
            </w:tcBorders>
            <w:shd w:val="clear" w:color="auto" w:fill="auto"/>
            <w:noWrap/>
            <w:vAlign w:val="center"/>
          </w:tcPr>
          <w:p w14:paraId="6A5A06A6">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nil"/>
              <w:bottom w:val="single" w:color="000000" w:sz="8" w:space="0"/>
              <w:right w:val="single" w:color="auto" w:sz="4" w:space="0"/>
            </w:tcBorders>
            <w:shd w:val="clear" w:color="auto" w:fill="auto"/>
            <w:noWrap/>
            <w:vAlign w:val="center"/>
          </w:tcPr>
          <w:p w14:paraId="5E7252F4">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1FD3B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vMerge w:val="continue"/>
            <w:tcBorders>
              <w:top w:val="nil"/>
              <w:left w:val="single" w:color="auto" w:sz="4" w:space="0"/>
              <w:bottom w:val="single" w:color="000000" w:sz="8" w:space="0"/>
              <w:right w:val="single" w:color="000000" w:sz="8" w:space="0"/>
            </w:tcBorders>
            <w:shd w:val="clear" w:color="auto" w:fill="auto"/>
            <w:noWrap/>
            <w:vAlign w:val="center"/>
          </w:tcPr>
          <w:p w14:paraId="0F55CBA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42AF5C5B">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nil"/>
              <w:right w:val="single" w:color="000000" w:sz="8" w:space="0"/>
            </w:tcBorders>
            <w:shd w:val="clear" w:color="auto" w:fill="auto"/>
            <w:vAlign w:val="center"/>
          </w:tcPr>
          <w:p w14:paraId="45497F3B">
            <w:pPr>
              <w:keepNext w:val="0"/>
              <w:keepLines w:val="0"/>
              <w:widowControl/>
              <w:suppressLineNumbers w:val="0"/>
              <w:jc w:val="both"/>
              <w:textAlignment w:val="center"/>
              <w:rPr>
                <w:rFonts w:hint="default" w:ascii="Calibri" w:hAnsi="Calibri" w:eastAsia="宋体" w:cs="Calibri"/>
                <w:i w:val="0"/>
                <w:iCs w:val="0"/>
                <w:color w:val="000000" w:themeColor="text1"/>
                <w:sz w:val="18"/>
                <w:szCs w:val="18"/>
                <w:u w:val="none"/>
                <w14:textFill>
                  <w14:solidFill>
                    <w14:schemeClr w14:val="tx1"/>
                  </w14:solidFill>
                </w14:textFill>
              </w:rPr>
            </w:pPr>
            <w:r>
              <w:rPr>
                <w:rStyle w:val="37"/>
                <w:rFonts w:eastAsia="宋体"/>
                <w:color w:val="000000" w:themeColor="text1"/>
                <w:lang w:val="en-US" w:eastAsia="zh-CN" w:bidi="ar"/>
                <w14:textFill>
                  <w14:solidFill>
                    <w14:schemeClr w14:val="tx1"/>
                  </w14:solidFill>
                </w14:textFill>
              </w:rPr>
              <w:t>4</w:t>
            </w:r>
            <w:r>
              <w:rPr>
                <w:rStyle w:val="36"/>
                <w:color w:val="000000" w:themeColor="text1"/>
                <w:lang w:val="en-US" w:eastAsia="zh-CN" w:bidi="ar"/>
                <w14:textFill>
                  <w14:solidFill>
                    <w14:schemeClr w14:val="tx1"/>
                  </w14:solidFill>
                </w14:textFill>
              </w:rPr>
              <w:t>、远距离耳标识别：</w:t>
            </w:r>
            <w:r>
              <w:rPr>
                <w:rStyle w:val="37"/>
                <w:rFonts w:eastAsia="宋体"/>
                <w:color w:val="000000" w:themeColor="text1"/>
                <w:lang w:val="en-US" w:eastAsia="zh-CN" w:bidi="ar"/>
                <w14:textFill>
                  <w14:solidFill>
                    <w14:schemeClr w14:val="tx1"/>
                  </w14:solidFill>
                </w14:textFill>
              </w:rPr>
              <w:t>920Mhz-925Mhz</w:t>
            </w:r>
            <w:r>
              <w:rPr>
                <w:rStyle w:val="36"/>
                <w:color w:val="000000" w:themeColor="text1"/>
                <w:lang w:val="en-US" w:eastAsia="zh-CN" w:bidi="ar"/>
                <w14:textFill>
                  <w14:solidFill>
                    <w14:schemeClr w14:val="tx1"/>
                  </w14:solidFill>
                </w14:textFill>
              </w:rPr>
              <w:t>频段，耳标识读率</w:t>
            </w:r>
            <w:r>
              <w:rPr>
                <w:rStyle w:val="37"/>
                <w:rFonts w:eastAsia="宋体"/>
                <w:color w:val="000000" w:themeColor="text1"/>
                <w:lang w:val="en-US" w:eastAsia="zh-CN" w:bidi="ar"/>
                <w14:textFill>
                  <w14:solidFill>
                    <w14:schemeClr w14:val="tx1"/>
                  </w14:solidFill>
                </w14:textFill>
              </w:rPr>
              <w:t>100%</w:t>
            </w:r>
            <w:r>
              <w:rPr>
                <w:rStyle w:val="36"/>
                <w:color w:val="000000" w:themeColor="text1"/>
                <w:lang w:val="en-US" w:eastAsia="zh-CN" w:bidi="ar"/>
                <w14:textFill>
                  <w14:solidFill>
                    <w14:schemeClr w14:val="tx1"/>
                  </w14:solidFill>
                </w14:textFill>
              </w:rPr>
              <w:t>，识读距离</w:t>
            </w:r>
            <w:r>
              <w:rPr>
                <w:rStyle w:val="37"/>
                <w:rFonts w:eastAsia="宋体"/>
                <w:color w:val="000000" w:themeColor="text1"/>
                <w:lang w:val="en-US" w:eastAsia="zh-CN" w:bidi="ar"/>
                <w14:textFill>
                  <w14:solidFill>
                    <w14:schemeClr w14:val="tx1"/>
                  </w14:solidFill>
                </w14:textFill>
              </w:rPr>
              <w:t>1~2</w:t>
            </w:r>
            <w:r>
              <w:rPr>
                <w:rStyle w:val="36"/>
                <w:color w:val="000000" w:themeColor="text1"/>
                <w:lang w:val="en-US" w:eastAsia="zh-CN" w:bidi="ar"/>
                <w14:textFill>
                  <w14:solidFill>
                    <w14:schemeClr w14:val="tx1"/>
                  </w14:solidFill>
                </w14:textFill>
              </w:rPr>
              <w:t>米；或</w:t>
            </w:r>
            <w:r>
              <w:rPr>
                <w:rStyle w:val="37"/>
                <w:rFonts w:eastAsia="宋体"/>
                <w:color w:val="000000" w:themeColor="text1"/>
                <w:lang w:val="en-US" w:eastAsia="zh-CN" w:bidi="ar"/>
                <w14:textFill>
                  <w14:solidFill>
                    <w14:schemeClr w14:val="tx1"/>
                  </w14:solidFill>
                </w14:textFill>
              </w:rPr>
              <w:t>134.2KHz</w:t>
            </w:r>
            <w:r>
              <w:rPr>
                <w:rStyle w:val="36"/>
                <w:color w:val="000000" w:themeColor="text1"/>
                <w:lang w:val="en-US" w:eastAsia="zh-CN" w:bidi="ar"/>
                <w14:textFill>
                  <w14:solidFill>
                    <w14:schemeClr w14:val="tx1"/>
                  </w14:solidFill>
                </w14:textFill>
              </w:rPr>
              <w:t>频段，耳标识读率</w:t>
            </w:r>
            <w:r>
              <w:rPr>
                <w:rStyle w:val="37"/>
                <w:rFonts w:eastAsia="宋体"/>
                <w:color w:val="000000" w:themeColor="text1"/>
                <w:lang w:val="en-US" w:eastAsia="zh-CN" w:bidi="ar"/>
                <w14:textFill>
                  <w14:solidFill>
                    <w14:schemeClr w14:val="tx1"/>
                  </w14:solidFill>
                </w14:textFill>
              </w:rPr>
              <w:t>100%</w:t>
            </w:r>
            <w:r>
              <w:rPr>
                <w:rStyle w:val="36"/>
                <w:color w:val="000000" w:themeColor="text1"/>
                <w:lang w:val="en-US" w:eastAsia="zh-CN" w:bidi="ar"/>
                <w14:textFill>
                  <w14:solidFill>
                    <w14:schemeClr w14:val="tx1"/>
                  </w14:solidFill>
                </w14:textFill>
              </w:rPr>
              <w:t>，识读距离</w:t>
            </w:r>
            <w:r>
              <w:rPr>
                <w:rStyle w:val="37"/>
                <w:rFonts w:eastAsia="宋体"/>
                <w:color w:val="000000" w:themeColor="text1"/>
                <w:lang w:val="en-US" w:eastAsia="zh-CN" w:bidi="ar"/>
                <w14:textFill>
                  <w14:solidFill>
                    <w14:schemeClr w14:val="tx1"/>
                  </w14:solidFill>
                </w14:textFill>
              </w:rPr>
              <w:t>0.6</w:t>
            </w:r>
            <w:r>
              <w:rPr>
                <w:rStyle w:val="36"/>
                <w:color w:val="000000" w:themeColor="text1"/>
                <w:lang w:val="en-US" w:eastAsia="zh-CN" w:bidi="ar"/>
                <w14:textFill>
                  <w14:solidFill>
                    <w14:schemeClr w14:val="tx1"/>
                  </w14:solidFill>
                </w14:textFill>
              </w:rPr>
              <w:t>米；</w:t>
            </w:r>
          </w:p>
        </w:tc>
        <w:tc>
          <w:tcPr>
            <w:tcW w:w="0" w:type="auto"/>
            <w:vMerge w:val="continue"/>
            <w:tcBorders>
              <w:top w:val="nil"/>
              <w:left w:val="nil"/>
              <w:bottom w:val="single" w:color="000000" w:sz="8" w:space="0"/>
              <w:right w:val="single" w:color="000000" w:sz="8" w:space="0"/>
            </w:tcBorders>
            <w:shd w:val="clear" w:color="auto" w:fill="auto"/>
            <w:noWrap/>
            <w:vAlign w:val="center"/>
          </w:tcPr>
          <w:p w14:paraId="083B95DD">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auto" w:sz="4" w:space="0"/>
            </w:tcBorders>
            <w:shd w:val="clear" w:color="auto" w:fill="auto"/>
            <w:noWrap/>
            <w:vAlign w:val="center"/>
          </w:tcPr>
          <w:p w14:paraId="3EEF39AC">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2FF9B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jc w:val="center"/>
        </w:trPr>
        <w:tc>
          <w:tcPr>
            <w:tcW w:w="0" w:type="auto"/>
            <w:vMerge w:val="continue"/>
            <w:tcBorders>
              <w:top w:val="nil"/>
              <w:left w:val="single" w:color="auto" w:sz="4" w:space="0"/>
              <w:bottom w:val="single" w:color="000000" w:sz="8" w:space="0"/>
              <w:right w:val="single" w:color="000000" w:sz="8" w:space="0"/>
            </w:tcBorders>
            <w:shd w:val="clear" w:color="auto" w:fill="auto"/>
            <w:noWrap/>
            <w:vAlign w:val="center"/>
          </w:tcPr>
          <w:p w14:paraId="6334B3EA">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2E4CB716">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nil"/>
              <w:right w:val="single" w:color="000000" w:sz="8" w:space="0"/>
            </w:tcBorders>
            <w:shd w:val="clear" w:color="auto" w:fill="auto"/>
            <w:vAlign w:val="center"/>
          </w:tcPr>
          <w:p w14:paraId="29550C42">
            <w:pPr>
              <w:keepNext w:val="0"/>
              <w:keepLines w:val="0"/>
              <w:widowControl/>
              <w:suppressLineNumbers w:val="0"/>
              <w:jc w:val="left"/>
              <w:textAlignment w:val="center"/>
              <w:rPr>
                <w:rFonts w:hint="default" w:ascii="Calibri" w:hAnsi="Calibri" w:eastAsia="宋体" w:cs="Calibri"/>
                <w:i w:val="0"/>
                <w:iCs w:val="0"/>
                <w:color w:val="000000" w:themeColor="text1"/>
                <w:sz w:val="18"/>
                <w:szCs w:val="18"/>
                <w:u w:val="none"/>
                <w14:textFill>
                  <w14:solidFill>
                    <w14:schemeClr w14:val="tx1"/>
                  </w14:solidFill>
                </w14:textFill>
              </w:rPr>
            </w:pPr>
            <w:r>
              <w:rPr>
                <w:rStyle w:val="37"/>
                <w:rFonts w:eastAsia="宋体"/>
                <w:color w:val="000000" w:themeColor="text1"/>
                <w:lang w:val="en-US" w:eastAsia="zh-CN" w:bidi="ar"/>
                <w14:textFill>
                  <w14:solidFill>
                    <w14:schemeClr w14:val="tx1"/>
                  </w14:solidFill>
                </w14:textFill>
              </w:rPr>
              <w:t>5</w:t>
            </w:r>
            <w:r>
              <w:rPr>
                <w:rStyle w:val="36"/>
                <w:color w:val="000000" w:themeColor="text1"/>
                <w:lang w:val="en-US" w:eastAsia="zh-CN" w:bidi="ar"/>
                <w14:textFill>
                  <w14:solidFill>
                    <w14:schemeClr w14:val="tx1"/>
                  </w14:solidFill>
                </w14:textFill>
              </w:rPr>
              <w:t>、控制器：8寸工业防水防尘触屏电脑（扩展型强），存储数据500万条以上，数据采集终端</w:t>
            </w:r>
            <w:r>
              <w:rPr>
                <w:rStyle w:val="37"/>
                <w:rFonts w:eastAsia="宋体"/>
                <w:color w:val="000000" w:themeColor="text1"/>
                <w:lang w:val="en-US" w:eastAsia="zh-CN" w:bidi="ar"/>
                <w14:textFill>
                  <w14:solidFill>
                    <w14:schemeClr w14:val="tx1"/>
                  </w14:solidFill>
                </w14:textFill>
              </w:rPr>
              <w:t>+</w:t>
            </w:r>
            <w:r>
              <w:rPr>
                <w:rStyle w:val="36"/>
                <w:color w:val="000000" w:themeColor="text1"/>
                <w:lang w:val="en-US" w:eastAsia="zh-CN" w:bidi="ar"/>
                <w14:textFill>
                  <w14:solidFill>
                    <w14:schemeClr w14:val="tx1"/>
                  </w14:solidFill>
                </w14:textFill>
              </w:rPr>
              <w:t>二次分析仪表</w:t>
            </w:r>
            <w:r>
              <w:rPr>
                <w:rStyle w:val="37"/>
                <w:rFonts w:eastAsia="宋体"/>
                <w:color w:val="000000" w:themeColor="text1"/>
                <w:lang w:val="en-US" w:eastAsia="zh-CN" w:bidi="ar"/>
                <w14:textFill>
                  <w14:solidFill>
                    <w14:schemeClr w14:val="tx1"/>
                  </w14:solidFill>
                </w14:textFill>
              </w:rPr>
              <w:t>+PLC</w:t>
            </w:r>
            <w:r>
              <w:rPr>
                <w:rStyle w:val="36"/>
                <w:color w:val="000000" w:themeColor="text1"/>
                <w:lang w:val="en-US" w:eastAsia="zh-CN" w:bidi="ar"/>
                <w14:textFill>
                  <w14:solidFill>
                    <w14:schemeClr w14:val="tx1"/>
                  </w14:solidFill>
                </w14:textFill>
              </w:rPr>
              <w:t>核心处理</w:t>
            </w:r>
            <w:r>
              <w:rPr>
                <w:rStyle w:val="37"/>
                <w:rFonts w:eastAsia="宋体"/>
                <w:color w:val="000000" w:themeColor="text1"/>
                <w:lang w:val="en-US" w:eastAsia="zh-CN" w:bidi="ar"/>
                <w14:textFill>
                  <w14:solidFill>
                    <w14:schemeClr w14:val="tx1"/>
                  </w14:solidFill>
                </w14:textFill>
              </w:rPr>
              <w:t>+PC</w:t>
            </w:r>
            <w:r>
              <w:rPr>
                <w:rStyle w:val="36"/>
                <w:color w:val="000000" w:themeColor="text1"/>
                <w:lang w:val="en-US" w:eastAsia="zh-CN" w:bidi="ar"/>
                <w14:textFill>
                  <w14:solidFill>
                    <w14:schemeClr w14:val="tx1"/>
                  </w14:solidFill>
                </w14:textFill>
              </w:rPr>
              <w:t>上位管理，此方式能保证设备长期稳定运行；</w:t>
            </w:r>
          </w:p>
        </w:tc>
        <w:tc>
          <w:tcPr>
            <w:tcW w:w="0" w:type="auto"/>
            <w:vMerge w:val="continue"/>
            <w:tcBorders>
              <w:top w:val="nil"/>
              <w:left w:val="nil"/>
              <w:bottom w:val="single" w:color="000000" w:sz="8" w:space="0"/>
              <w:right w:val="single" w:color="000000" w:sz="8" w:space="0"/>
            </w:tcBorders>
            <w:shd w:val="clear" w:color="auto" w:fill="auto"/>
            <w:noWrap/>
            <w:vAlign w:val="center"/>
          </w:tcPr>
          <w:p w14:paraId="7661BB3A">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auto" w:sz="4" w:space="0"/>
            </w:tcBorders>
            <w:shd w:val="clear" w:color="auto" w:fill="auto"/>
            <w:noWrap/>
            <w:vAlign w:val="center"/>
          </w:tcPr>
          <w:p w14:paraId="6883166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7F28C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vMerge w:val="continue"/>
            <w:tcBorders>
              <w:top w:val="nil"/>
              <w:left w:val="single" w:color="auto" w:sz="4" w:space="0"/>
              <w:bottom w:val="single" w:color="000000" w:sz="8" w:space="0"/>
              <w:right w:val="single" w:color="000000" w:sz="8" w:space="0"/>
            </w:tcBorders>
            <w:shd w:val="clear" w:color="auto" w:fill="auto"/>
            <w:noWrap/>
            <w:vAlign w:val="center"/>
          </w:tcPr>
          <w:p w14:paraId="532EE0D0">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14EAB4F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nil"/>
              <w:right w:val="single" w:color="000000" w:sz="8" w:space="0"/>
            </w:tcBorders>
            <w:shd w:val="clear" w:color="auto" w:fill="auto"/>
            <w:vAlign w:val="center"/>
          </w:tcPr>
          <w:p w14:paraId="59A6AE13">
            <w:pPr>
              <w:keepNext w:val="0"/>
              <w:keepLines w:val="0"/>
              <w:widowControl/>
              <w:suppressLineNumbers w:val="0"/>
              <w:jc w:val="both"/>
              <w:textAlignment w:val="center"/>
              <w:rPr>
                <w:rFonts w:hint="default" w:ascii="Calibri" w:hAnsi="Calibri" w:eastAsia="宋体" w:cs="Calibri"/>
                <w:i w:val="0"/>
                <w:iCs w:val="0"/>
                <w:color w:val="000000" w:themeColor="text1"/>
                <w:sz w:val="18"/>
                <w:szCs w:val="18"/>
                <w:u w:val="none"/>
                <w14:textFill>
                  <w14:solidFill>
                    <w14:schemeClr w14:val="tx1"/>
                  </w14:solidFill>
                </w14:textFill>
              </w:rPr>
            </w:pPr>
            <w:r>
              <w:rPr>
                <w:rStyle w:val="37"/>
                <w:rFonts w:eastAsia="宋体"/>
                <w:color w:val="000000" w:themeColor="text1"/>
                <w:lang w:val="en-US" w:eastAsia="zh-CN" w:bidi="ar"/>
                <w14:textFill>
                  <w14:solidFill>
                    <w14:schemeClr w14:val="tx1"/>
                  </w14:solidFill>
                </w14:textFill>
              </w:rPr>
              <w:t>6</w:t>
            </w:r>
            <w:r>
              <w:rPr>
                <w:rStyle w:val="36"/>
                <w:color w:val="000000" w:themeColor="text1"/>
                <w:lang w:val="en-US" w:eastAsia="zh-CN" w:bidi="ar"/>
                <w14:textFill>
                  <w14:solidFill>
                    <w14:schemeClr w14:val="tx1"/>
                  </w14:solidFill>
                </w14:textFill>
              </w:rPr>
              <w:t>、数据上传平台：开放数据接口，对接牧场管理系统</w:t>
            </w:r>
          </w:p>
        </w:tc>
        <w:tc>
          <w:tcPr>
            <w:tcW w:w="0" w:type="auto"/>
            <w:vMerge w:val="continue"/>
            <w:tcBorders>
              <w:top w:val="nil"/>
              <w:left w:val="nil"/>
              <w:bottom w:val="single" w:color="000000" w:sz="8" w:space="0"/>
              <w:right w:val="single" w:color="000000" w:sz="8" w:space="0"/>
            </w:tcBorders>
            <w:shd w:val="clear" w:color="auto" w:fill="auto"/>
            <w:noWrap/>
            <w:vAlign w:val="center"/>
          </w:tcPr>
          <w:p w14:paraId="7742834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auto" w:sz="4" w:space="0"/>
            </w:tcBorders>
            <w:shd w:val="clear" w:color="auto" w:fill="auto"/>
            <w:noWrap/>
            <w:vAlign w:val="center"/>
          </w:tcPr>
          <w:p w14:paraId="52B5EF51">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1F59D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0" w:type="auto"/>
            <w:vMerge w:val="continue"/>
            <w:tcBorders>
              <w:top w:val="nil"/>
              <w:left w:val="single" w:color="auto" w:sz="4" w:space="0"/>
              <w:bottom w:val="single" w:color="000000" w:sz="8" w:space="0"/>
              <w:right w:val="single" w:color="000000" w:sz="8" w:space="0"/>
            </w:tcBorders>
            <w:shd w:val="clear" w:color="auto" w:fill="auto"/>
            <w:noWrap/>
            <w:vAlign w:val="center"/>
          </w:tcPr>
          <w:p w14:paraId="1B07A1F5">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435DA1FB">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nil"/>
              <w:right w:val="single" w:color="000000" w:sz="8" w:space="0"/>
            </w:tcBorders>
            <w:shd w:val="clear" w:color="auto" w:fill="auto"/>
            <w:vAlign w:val="center"/>
          </w:tcPr>
          <w:p w14:paraId="0DB238FE">
            <w:pPr>
              <w:keepNext w:val="0"/>
              <w:keepLines w:val="0"/>
              <w:widowControl/>
              <w:suppressLineNumbers w:val="0"/>
              <w:jc w:val="both"/>
              <w:textAlignment w:val="center"/>
              <w:rPr>
                <w:rFonts w:hint="default" w:ascii="Calibri" w:hAnsi="Calibri" w:eastAsia="宋体" w:cs="Calibri"/>
                <w:i w:val="0"/>
                <w:iCs w:val="0"/>
                <w:color w:val="000000" w:themeColor="text1"/>
                <w:sz w:val="18"/>
                <w:szCs w:val="18"/>
                <w:u w:val="none"/>
                <w14:textFill>
                  <w14:solidFill>
                    <w14:schemeClr w14:val="tx1"/>
                  </w14:solidFill>
                </w14:textFill>
              </w:rPr>
            </w:pPr>
            <w:r>
              <w:rPr>
                <w:rStyle w:val="37"/>
                <w:rFonts w:eastAsia="宋体"/>
                <w:color w:val="000000" w:themeColor="text1"/>
                <w:lang w:val="en-US" w:eastAsia="zh-CN" w:bidi="ar"/>
                <w14:textFill>
                  <w14:solidFill>
                    <w14:schemeClr w14:val="tx1"/>
                  </w14:solidFill>
                </w14:textFill>
              </w:rPr>
              <w:t>7</w:t>
            </w:r>
            <w:r>
              <w:rPr>
                <w:rStyle w:val="36"/>
                <w:color w:val="000000" w:themeColor="text1"/>
                <w:lang w:val="en-US" w:eastAsia="zh-CN" w:bidi="ar"/>
                <w14:textFill>
                  <w14:solidFill>
                    <w14:schemeClr w14:val="tx1"/>
                  </w14:solidFill>
                </w14:textFill>
              </w:rPr>
              <w:t>、材质与工艺：</w:t>
            </w:r>
            <w:r>
              <w:rPr>
                <w:rStyle w:val="37"/>
                <w:rFonts w:eastAsia="宋体"/>
                <w:color w:val="000000" w:themeColor="text1"/>
                <w:lang w:val="en-US" w:eastAsia="zh-CN" w:bidi="ar"/>
                <w14:textFill>
                  <w14:solidFill>
                    <w14:schemeClr w14:val="tx1"/>
                  </w14:solidFill>
                </w14:textFill>
              </w:rPr>
              <w:t xml:space="preserve"> </w:t>
            </w:r>
            <w:r>
              <w:rPr>
                <w:rStyle w:val="36"/>
                <w:color w:val="000000" w:themeColor="text1"/>
                <w:lang w:val="en-US" w:eastAsia="zh-CN" w:bidi="ar"/>
                <w14:textFill>
                  <w14:solidFill>
                    <w14:schemeClr w14:val="tx1"/>
                  </w14:solidFill>
                </w14:textFill>
              </w:rPr>
              <w:t>整机均采用镀锌钢管，钢管壁厚</w:t>
            </w:r>
            <w:r>
              <w:rPr>
                <w:rStyle w:val="37"/>
                <w:rFonts w:eastAsia="宋体"/>
                <w:color w:val="000000" w:themeColor="text1"/>
                <w:lang w:val="en-US" w:eastAsia="zh-CN" w:bidi="ar"/>
                <w14:textFill>
                  <w14:solidFill>
                    <w14:schemeClr w14:val="tx1"/>
                  </w14:solidFill>
                </w14:textFill>
              </w:rPr>
              <w:t>2.5mm</w:t>
            </w:r>
            <w:r>
              <w:rPr>
                <w:rStyle w:val="36"/>
                <w:color w:val="000000" w:themeColor="text1"/>
                <w:lang w:val="en-US" w:eastAsia="zh-CN" w:bidi="ar"/>
                <w14:textFill>
                  <w14:solidFill>
                    <w14:schemeClr w14:val="tx1"/>
                  </w14:solidFill>
                </w14:textFill>
              </w:rPr>
              <w:t>；设备整机耐高温、防潮，耐腐蚀，夯实耐用。</w:t>
            </w:r>
          </w:p>
        </w:tc>
        <w:tc>
          <w:tcPr>
            <w:tcW w:w="0" w:type="auto"/>
            <w:vMerge w:val="continue"/>
            <w:tcBorders>
              <w:top w:val="nil"/>
              <w:left w:val="nil"/>
              <w:bottom w:val="single" w:color="000000" w:sz="8" w:space="0"/>
              <w:right w:val="single" w:color="000000" w:sz="8" w:space="0"/>
            </w:tcBorders>
            <w:shd w:val="clear" w:color="auto" w:fill="auto"/>
            <w:noWrap/>
            <w:vAlign w:val="center"/>
          </w:tcPr>
          <w:p w14:paraId="628F9C6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auto" w:sz="4" w:space="0"/>
            </w:tcBorders>
            <w:shd w:val="clear" w:color="auto" w:fill="auto"/>
            <w:noWrap/>
            <w:vAlign w:val="center"/>
          </w:tcPr>
          <w:p w14:paraId="070E7F72">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010DD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vMerge w:val="continue"/>
            <w:tcBorders>
              <w:top w:val="nil"/>
              <w:left w:val="single" w:color="auto" w:sz="4" w:space="0"/>
              <w:bottom w:val="single" w:color="000000" w:sz="8" w:space="0"/>
              <w:right w:val="single" w:color="000000" w:sz="8" w:space="0"/>
            </w:tcBorders>
            <w:shd w:val="clear" w:color="auto" w:fill="auto"/>
            <w:noWrap/>
            <w:vAlign w:val="center"/>
          </w:tcPr>
          <w:p w14:paraId="38057490">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71182049">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nil"/>
              <w:right w:val="single" w:color="000000" w:sz="8" w:space="0"/>
            </w:tcBorders>
            <w:shd w:val="clear" w:color="auto" w:fill="auto"/>
            <w:vAlign w:val="center"/>
          </w:tcPr>
          <w:p w14:paraId="09088B0F">
            <w:pPr>
              <w:keepNext w:val="0"/>
              <w:keepLines w:val="0"/>
              <w:widowControl/>
              <w:suppressLineNumbers w:val="0"/>
              <w:jc w:val="both"/>
              <w:textAlignment w:val="center"/>
              <w:rPr>
                <w:rFonts w:hint="default" w:ascii="Calibri" w:hAnsi="Calibri" w:eastAsia="宋体" w:cs="Calibri"/>
                <w:i w:val="0"/>
                <w:iCs w:val="0"/>
                <w:color w:val="000000" w:themeColor="text1"/>
                <w:sz w:val="18"/>
                <w:szCs w:val="18"/>
                <w:u w:val="none"/>
                <w14:textFill>
                  <w14:solidFill>
                    <w14:schemeClr w14:val="tx1"/>
                  </w14:solidFill>
                </w14:textFill>
              </w:rPr>
            </w:pPr>
            <w:r>
              <w:rPr>
                <w:rStyle w:val="37"/>
                <w:rFonts w:eastAsia="宋体"/>
                <w:color w:val="000000" w:themeColor="text1"/>
                <w:lang w:val="en-US" w:eastAsia="zh-CN" w:bidi="ar"/>
                <w14:textFill>
                  <w14:solidFill>
                    <w14:schemeClr w14:val="tx1"/>
                  </w14:solidFill>
                </w14:textFill>
              </w:rPr>
              <w:t>8</w:t>
            </w:r>
            <w:r>
              <w:rPr>
                <w:rStyle w:val="36"/>
                <w:color w:val="000000" w:themeColor="text1"/>
                <w:lang w:val="en-US" w:eastAsia="zh-CN" w:bidi="ar"/>
                <w14:textFill>
                  <w14:solidFill>
                    <w14:schemeClr w14:val="tx1"/>
                  </w14:solidFill>
                </w14:textFill>
              </w:rPr>
              <w:t>、设备内部规格：</w:t>
            </w:r>
            <w:r>
              <w:rPr>
                <w:rStyle w:val="37"/>
                <w:rFonts w:eastAsia="宋体"/>
                <w:color w:val="000000" w:themeColor="text1"/>
                <w:lang w:val="en-US" w:eastAsia="zh-CN" w:bidi="ar"/>
                <w14:textFill>
                  <w14:solidFill>
                    <w14:schemeClr w14:val="tx1"/>
                  </w14:solidFill>
                </w14:textFill>
              </w:rPr>
              <w:t>L2400*800mm</w:t>
            </w:r>
          </w:p>
        </w:tc>
        <w:tc>
          <w:tcPr>
            <w:tcW w:w="0" w:type="auto"/>
            <w:vMerge w:val="continue"/>
            <w:tcBorders>
              <w:top w:val="nil"/>
              <w:left w:val="nil"/>
              <w:bottom w:val="single" w:color="000000" w:sz="8" w:space="0"/>
              <w:right w:val="single" w:color="000000" w:sz="8" w:space="0"/>
            </w:tcBorders>
            <w:shd w:val="clear" w:color="auto" w:fill="auto"/>
            <w:noWrap/>
            <w:vAlign w:val="center"/>
          </w:tcPr>
          <w:p w14:paraId="7C327E7F">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auto" w:sz="4" w:space="0"/>
            </w:tcBorders>
            <w:shd w:val="clear" w:color="auto" w:fill="auto"/>
            <w:noWrap/>
            <w:vAlign w:val="center"/>
          </w:tcPr>
          <w:p w14:paraId="27E0FC7F">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05B61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0" w:type="auto"/>
            <w:vMerge w:val="continue"/>
            <w:tcBorders>
              <w:top w:val="nil"/>
              <w:left w:val="single" w:color="auto" w:sz="4" w:space="0"/>
              <w:bottom w:val="single" w:color="000000" w:sz="8" w:space="0"/>
              <w:right w:val="single" w:color="000000" w:sz="8" w:space="0"/>
            </w:tcBorders>
            <w:shd w:val="clear" w:color="auto" w:fill="auto"/>
            <w:noWrap/>
            <w:vAlign w:val="center"/>
          </w:tcPr>
          <w:p w14:paraId="4CB79B53">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79F9F0AB">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nil"/>
              <w:right w:val="single" w:color="000000" w:sz="8" w:space="0"/>
            </w:tcBorders>
            <w:shd w:val="clear" w:color="auto" w:fill="auto"/>
            <w:vAlign w:val="center"/>
          </w:tcPr>
          <w:p w14:paraId="55C16E7D">
            <w:pPr>
              <w:keepNext w:val="0"/>
              <w:keepLines w:val="0"/>
              <w:widowControl/>
              <w:suppressLineNumbers w:val="0"/>
              <w:jc w:val="both"/>
              <w:textAlignment w:val="center"/>
              <w:rPr>
                <w:rFonts w:hint="default" w:ascii="Calibri" w:hAnsi="Calibri" w:eastAsia="宋体" w:cs="Calibri"/>
                <w:i w:val="0"/>
                <w:iCs w:val="0"/>
                <w:color w:val="000000" w:themeColor="text1"/>
                <w:sz w:val="18"/>
                <w:szCs w:val="18"/>
                <w:u w:val="none"/>
                <w14:textFill>
                  <w14:solidFill>
                    <w14:schemeClr w14:val="tx1"/>
                  </w14:solidFill>
                </w14:textFill>
              </w:rPr>
            </w:pPr>
            <w:r>
              <w:rPr>
                <w:rStyle w:val="37"/>
                <w:rFonts w:eastAsia="宋体"/>
                <w:color w:val="000000" w:themeColor="text1"/>
                <w:lang w:val="en-US" w:eastAsia="zh-CN" w:bidi="ar"/>
                <w14:textFill>
                  <w14:solidFill>
                    <w14:schemeClr w14:val="tx1"/>
                  </w14:solidFill>
                </w14:textFill>
              </w:rPr>
              <w:t>9</w:t>
            </w:r>
            <w:r>
              <w:rPr>
                <w:rStyle w:val="36"/>
                <w:color w:val="000000" w:themeColor="text1"/>
                <w:lang w:val="en-US" w:eastAsia="zh-CN" w:bidi="ar"/>
                <w14:textFill>
                  <w14:solidFill>
                    <w14:schemeClr w14:val="tx1"/>
                  </w14:solidFill>
                </w14:textFill>
              </w:rPr>
              <w:t>、工作温度：</w:t>
            </w:r>
            <w:r>
              <w:rPr>
                <w:rStyle w:val="37"/>
                <w:rFonts w:eastAsia="宋体"/>
                <w:color w:val="000000" w:themeColor="text1"/>
                <w:lang w:val="en-US" w:eastAsia="zh-CN" w:bidi="ar"/>
                <w14:textFill>
                  <w14:solidFill>
                    <w14:schemeClr w14:val="tx1"/>
                  </w14:solidFill>
                </w14:textFill>
              </w:rPr>
              <w:t>-20℃~70℃</w:t>
            </w:r>
            <w:r>
              <w:rPr>
                <w:rStyle w:val="36"/>
                <w:color w:val="000000" w:themeColor="text1"/>
                <w:lang w:val="en-US" w:eastAsia="zh-CN" w:bidi="ar"/>
                <w14:textFill>
                  <w14:solidFill>
                    <w14:schemeClr w14:val="tx1"/>
                  </w14:solidFill>
                </w14:textFill>
              </w:rPr>
              <w:t>；</w:t>
            </w:r>
          </w:p>
        </w:tc>
        <w:tc>
          <w:tcPr>
            <w:tcW w:w="0" w:type="auto"/>
            <w:vMerge w:val="continue"/>
            <w:tcBorders>
              <w:top w:val="nil"/>
              <w:left w:val="nil"/>
              <w:bottom w:val="single" w:color="000000" w:sz="8" w:space="0"/>
              <w:right w:val="single" w:color="000000" w:sz="8" w:space="0"/>
            </w:tcBorders>
            <w:shd w:val="clear" w:color="auto" w:fill="auto"/>
            <w:noWrap/>
            <w:vAlign w:val="center"/>
          </w:tcPr>
          <w:p w14:paraId="72F66B1C">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auto" w:sz="4" w:space="0"/>
            </w:tcBorders>
            <w:shd w:val="clear" w:color="auto" w:fill="auto"/>
            <w:noWrap/>
            <w:vAlign w:val="center"/>
          </w:tcPr>
          <w:p w14:paraId="6B385750">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15E89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0" w:type="auto"/>
            <w:vMerge w:val="continue"/>
            <w:tcBorders>
              <w:top w:val="nil"/>
              <w:left w:val="single" w:color="auto" w:sz="4" w:space="0"/>
              <w:bottom w:val="single" w:color="000000" w:sz="8" w:space="0"/>
              <w:right w:val="single" w:color="000000" w:sz="8" w:space="0"/>
            </w:tcBorders>
            <w:shd w:val="clear" w:color="auto" w:fill="auto"/>
            <w:noWrap/>
            <w:vAlign w:val="center"/>
          </w:tcPr>
          <w:p w14:paraId="21EA0AC6">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3FACEA61">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nil"/>
              <w:right w:val="single" w:color="000000" w:sz="8" w:space="0"/>
            </w:tcBorders>
            <w:shd w:val="clear" w:color="auto" w:fill="auto"/>
            <w:vAlign w:val="center"/>
          </w:tcPr>
          <w:p w14:paraId="2877A415">
            <w:pPr>
              <w:keepNext w:val="0"/>
              <w:keepLines w:val="0"/>
              <w:widowControl/>
              <w:suppressLineNumbers w:val="0"/>
              <w:jc w:val="both"/>
              <w:textAlignment w:val="center"/>
              <w:rPr>
                <w:rFonts w:hint="default" w:ascii="Calibri" w:hAnsi="Calibri" w:eastAsia="宋体" w:cs="Calibri"/>
                <w:i w:val="0"/>
                <w:iCs w:val="0"/>
                <w:color w:val="000000" w:themeColor="text1"/>
                <w:sz w:val="18"/>
                <w:szCs w:val="18"/>
                <w:u w:val="none"/>
                <w14:textFill>
                  <w14:solidFill>
                    <w14:schemeClr w14:val="tx1"/>
                  </w14:solidFill>
                </w14:textFill>
              </w:rPr>
            </w:pPr>
            <w:r>
              <w:rPr>
                <w:rStyle w:val="37"/>
                <w:rFonts w:eastAsia="宋体"/>
                <w:color w:val="000000" w:themeColor="text1"/>
                <w:lang w:val="en-US" w:eastAsia="zh-CN" w:bidi="ar"/>
                <w14:textFill>
                  <w14:solidFill>
                    <w14:schemeClr w14:val="tx1"/>
                  </w14:solidFill>
                </w14:textFill>
              </w:rPr>
              <w:t>10</w:t>
            </w:r>
            <w:r>
              <w:rPr>
                <w:rStyle w:val="36"/>
                <w:color w:val="000000" w:themeColor="text1"/>
                <w:lang w:val="en-US" w:eastAsia="zh-CN" w:bidi="ar"/>
                <w14:textFill>
                  <w14:solidFill>
                    <w14:schemeClr w14:val="tx1"/>
                  </w14:solidFill>
                </w14:textFill>
              </w:rPr>
              <w:t>、工作湿度：</w:t>
            </w:r>
            <w:r>
              <w:rPr>
                <w:rStyle w:val="37"/>
                <w:rFonts w:eastAsia="宋体"/>
                <w:color w:val="000000" w:themeColor="text1"/>
                <w:lang w:val="en-US" w:eastAsia="zh-CN" w:bidi="ar"/>
                <w14:textFill>
                  <w14:solidFill>
                    <w14:schemeClr w14:val="tx1"/>
                  </w14:solidFill>
                </w14:textFill>
              </w:rPr>
              <w:t xml:space="preserve"> </w:t>
            </w:r>
            <w:r>
              <w:rPr>
                <w:rStyle w:val="36"/>
                <w:color w:val="000000" w:themeColor="text1"/>
                <w:lang w:val="en-US" w:eastAsia="zh-CN" w:bidi="ar"/>
                <w14:textFill>
                  <w14:solidFill>
                    <w14:schemeClr w14:val="tx1"/>
                  </w14:solidFill>
                </w14:textFill>
              </w:rPr>
              <w:t>电气部分：防尘、不可结露；机械部分：防尘、防雨淋。</w:t>
            </w:r>
          </w:p>
        </w:tc>
        <w:tc>
          <w:tcPr>
            <w:tcW w:w="0" w:type="auto"/>
            <w:vMerge w:val="continue"/>
            <w:tcBorders>
              <w:top w:val="nil"/>
              <w:left w:val="nil"/>
              <w:bottom w:val="single" w:color="000000" w:sz="8" w:space="0"/>
              <w:right w:val="single" w:color="000000" w:sz="8" w:space="0"/>
            </w:tcBorders>
            <w:shd w:val="clear" w:color="auto" w:fill="auto"/>
            <w:noWrap/>
            <w:vAlign w:val="center"/>
          </w:tcPr>
          <w:p w14:paraId="5E0A8910">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auto" w:sz="4" w:space="0"/>
            </w:tcBorders>
            <w:shd w:val="clear" w:color="auto" w:fill="auto"/>
            <w:noWrap/>
            <w:vAlign w:val="center"/>
          </w:tcPr>
          <w:p w14:paraId="3C8F620F">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14F20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vMerge w:val="continue"/>
            <w:tcBorders>
              <w:top w:val="nil"/>
              <w:left w:val="single" w:color="auto" w:sz="4" w:space="0"/>
              <w:bottom w:val="single" w:color="000000" w:sz="8" w:space="0"/>
              <w:right w:val="single" w:color="000000" w:sz="8" w:space="0"/>
            </w:tcBorders>
            <w:shd w:val="clear" w:color="auto" w:fill="auto"/>
            <w:noWrap/>
            <w:vAlign w:val="center"/>
          </w:tcPr>
          <w:p w14:paraId="062D8C5A">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6047D0C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nil"/>
              <w:right w:val="single" w:color="000000" w:sz="8" w:space="0"/>
            </w:tcBorders>
            <w:shd w:val="clear" w:color="auto" w:fill="auto"/>
            <w:vAlign w:val="center"/>
          </w:tcPr>
          <w:p w14:paraId="500494F1">
            <w:pPr>
              <w:keepNext w:val="0"/>
              <w:keepLines w:val="0"/>
              <w:widowControl/>
              <w:suppressLineNumbers w:val="0"/>
              <w:jc w:val="both"/>
              <w:textAlignment w:val="center"/>
              <w:rPr>
                <w:rFonts w:hint="default" w:ascii="Calibri" w:hAnsi="Calibri" w:eastAsia="宋体" w:cs="Calibri"/>
                <w:i w:val="0"/>
                <w:iCs w:val="0"/>
                <w:color w:val="000000" w:themeColor="text1"/>
                <w:sz w:val="18"/>
                <w:szCs w:val="18"/>
                <w:u w:val="none"/>
                <w14:textFill>
                  <w14:solidFill>
                    <w14:schemeClr w14:val="tx1"/>
                  </w14:solidFill>
                </w14:textFill>
              </w:rPr>
            </w:pPr>
            <w:r>
              <w:rPr>
                <w:rStyle w:val="37"/>
                <w:rFonts w:eastAsia="宋体"/>
                <w:color w:val="000000" w:themeColor="text1"/>
                <w:lang w:val="en-US" w:eastAsia="zh-CN" w:bidi="ar"/>
                <w14:textFill>
                  <w14:solidFill>
                    <w14:schemeClr w14:val="tx1"/>
                  </w14:solidFill>
                </w14:textFill>
              </w:rPr>
              <w:t>11</w:t>
            </w:r>
            <w:r>
              <w:rPr>
                <w:rStyle w:val="36"/>
                <w:color w:val="000000" w:themeColor="text1"/>
                <w:lang w:val="en-US" w:eastAsia="zh-CN" w:bidi="ar"/>
                <w14:textFill>
                  <w14:solidFill>
                    <w14:schemeClr w14:val="tx1"/>
                  </w14:solidFill>
                </w14:textFill>
              </w:rPr>
              <w:t>、</w:t>
            </w:r>
            <w:r>
              <w:rPr>
                <w:rStyle w:val="37"/>
                <w:rFonts w:eastAsia="宋体"/>
                <w:color w:val="000000" w:themeColor="text1"/>
                <w:lang w:val="en-US" w:eastAsia="zh-CN" w:bidi="ar"/>
                <w14:textFill>
                  <w14:solidFill>
                    <w14:schemeClr w14:val="tx1"/>
                  </w14:solidFill>
                </w14:textFill>
              </w:rPr>
              <w:t>6</w:t>
            </w:r>
            <w:r>
              <w:rPr>
                <w:rStyle w:val="36"/>
                <w:color w:val="000000" w:themeColor="text1"/>
                <w:lang w:val="en-US" w:eastAsia="zh-CN" w:bidi="ar"/>
                <w14:textFill>
                  <w14:solidFill>
                    <w14:schemeClr w14:val="tx1"/>
                  </w14:solidFill>
                </w14:textFill>
              </w:rPr>
              <w:t>防护等级：</w:t>
            </w:r>
            <w:r>
              <w:rPr>
                <w:rStyle w:val="37"/>
                <w:rFonts w:eastAsia="宋体"/>
                <w:color w:val="000000" w:themeColor="text1"/>
                <w:lang w:val="en-US" w:eastAsia="zh-CN" w:bidi="ar"/>
                <w14:textFill>
                  <w14:solidFill>
                    <w14:schemeClr w14:val="tx1"/>
                  </w14:solidFill>
                </w14:textFill>
              </w:rPr>
              <w:t>IP66</w:t>
            </w:r>
            <w:r>
              <w:rPr>
                <w:rStyle w:val="36"/>
                <w:color w:val="000000" w:themeColor="text1"/>
                <w:lang w:val="en-US" w:eastAsia="zh-CN" w:bidi="ar"/>
                <w14:textFill>
                  <w14:solidFill>
                    <w14:schemeClr w14:val="tx1"/>
                  </w14:solidFill>
                </w14:textFill>
              </w:rPr>
              <w:t>，防尘防溅水；</w:t>
            </w:r>
          </w:p>
        </w:tc>
        <w:tc>
          <w:tcPr>
            <w:tcW w:w="0" w:type="auto"/>
            <w:vMerge w:val="continue"/>
            <w:tcBorders>
              <w:top w:val="nil"/>
              <w:left w:val="nil"/>
              <w:bottom w:val="single" w:color="000000" w:sz="8" w:space="0"/>
              <w:right w:val="single" w:color="000000" w:sz="8" w:space="0"/>
            </w:tcBorders>
            <w:shd w:val="clear" w:color="auto" w:fill="auto"/>
            <w:noWrap/>
            <w:vAlign w:val="center"/>
          </w:tcPr>
          <w:p w14:paraId="1AAFDD5B">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auto" w:sz="4" w:space="0"/>
            </w:tcBorders>
            <w:shd w:val="clear" w:color="auto" w:fill="auto"/>
            <w:noWrap/>
            <w:vAlign w:val="center"/>
          </w:tcPr>
          <w:p w14:paraId="6C7AC8AB">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4FCB9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0" w:type="auto"/>
            <w:vMerge w:val="continue"/>
            <w:tcBorders>
              <w:top w:val="nil"/>
              <w:left w:val="single" w:color="auto" w:sz="4" w:space="0"/>
              <w:bottom w:val="single" w:color="000000" w:sz="8" w:space="0"/>
              <w:right w:val="single" w:color="000000" w:sz="8" w:space="0"/>
            </w:tcBorders>
            <w:shd w:val="clear" w:color="auto" w:fill="auto"/>
            <w:noWrap/>
            <w:vAlign w:val="center"/>
          </w:tcPr>
          <w:p w14:paraId="76DBA738">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25125520">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nil"/>
              <w:right w:val="single" w:color="000000" w:sz="8" w:space="0"/>
            </w:tcBorders>
            <w:shd w:val="clear" w:color="auto" w:fill="auto"/>
            <w:vAlign w:val="center"/>
          </w:tcPr>
          <w:p w14:paraId="7DBD3004">
            <w:pPr>
              <w:keepNext w:val="0"/>
              <w:keepLines w:val="0"/>
              <w:widowControl/>
              <w:suppressLineNumbers w:val="0"/>
              <w:jc w:val="both"/>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实现功能：牛只饮水称重系统在牛只日常自然饮水过程中，自动、无感地完成个体体重数据采集。它实现了零应激精准称重，为牧场提供连续的个体生长数据，直接服务于精准饲喂管理和料肉比分析。</w:t>
            </w:r>
          </w:p>
        </w:tc>
        <w:tc>
          <w:tcPr>
            <w:tcW w:w="0" w:type="auto"/>
            <w:vMerge w:val="continue"/>
            <w:tcBorders>
              <w:top w:val="nil"/>
              <w:left w:val="nil"/>
              <w:bottom w:val="single" w:color="000000" w:sz="8" w:space="0"/>
              <w:right w:val="single" w:color="000000" w:sz="8" w:space="0"/>
            </w:tcBorders>
            <w:shd w:val="clear" w:color="auto" w:fill="auto"/>
            <w:noWrap/>
            <w:vAlign w:val="center"/>
          </w:tcPr>
          <w:p w14:paraId="0EFD79D4">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auto" w:sz="4" w:space="0"/>
            </w:tcBorders>
            <w:shd w:val="clear" w:color="auto" w:fill="auto"/>
            <w:noWrap/>
            <w:vAlign w:val="center"/>
          </w:tcPr>
          <w:p w14:paraId="369AE882">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76DE8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jc w:val="center"/>
        </w:trPr>
        <w:tc>
          <w:tcPr>
            <w:tcW w:w="0" w:type="auto"/>
            <w:vMerge w:val="continue"/>
            <w:tcBorders>
              <w:top w:val="nil"/>
              <w:left w:val="single" w:color="auto" w:sz="4" w:space="0"/>
              <w:bottom w:val="single" w:color="000000" w:sz="8" w:space="0"/>
              <w:right w:val="single" w:color="000000" w:sz="8" w:space="0"/>
            </w:tcBorders>
            <w:shd w:val="clear" w:color="auto" w:fill="auto"/>
            <w:noWrap/>
            <w:vAlign w:val="center"/>
          </w:tcPr>
          <w:p w14:paraId="51F26E3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000000" w:sz="8" w:space="0"/>
            </w:tcBorders>
            <w:shd w:val="clear" w:color="auto" w:fill="auto"/>
            <w:noWrap/>
            <w:vAlign w:val="center"/>
          </w:tcPr>
          <w:p w14:paraId="2F8EAA8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nil"/>
              <w:right w:val="single" w:color="000000" w:sz="8" w:space="0"/>
            </w:tcBorders>
            <w:shd w:val="clear" w:color="auto" w:fill="auto"/>
            <w:vAlign w:val="center"/>
          </w:tcPr>
          <w:p w14:paraId="4B878054">
            <w:pPr>
              <w:keepNext w:val="0"/>
              <w:keepLines w:val="0"/>
              <w:widowControl/>
              <w:suppressLineNumbers w:val="0"/>
              <w:jc w:val="both"/>
              <w:textAlignment w:val="center"/>
              <w:rPr>
                <w:rFonts w:hint="default" w:ascii="Calibri" w:hAnsi="Calibri" w:eastAsia="宋体" w:cs="Calibri"/>
                <w:i w:val="0"/>
                <w:iCs w:val="0"/>
                <w:color w:val="000000" w:themeColor="text1"/>
                <w:sz w:val="18"/>
                <w:szCs w:val="18"/>
                <w:u w:val="none"/>
                <w14:textFill>
                  <w14:solidFill>
                    <w14:schemeClr w14:val="tx1"/>
                  </w14:solidFill>
                </w14:textFill>
              </w:rPr>
            </w:pPr>
            <w:r>
              <w:rPr>
                <w:rStyle w:val="37"/>
                <w:rFonts w:eastAsia="宋体"/>
                <w:color w:val="000000" w:themeColor="text1"/>
                <w:lang w:val="en-US" w:eastAsia="zh-CN" w:bidi="ar"/>
                <w14:textFill>
                  <w14:solidFill>
                    <w14:schemeClr w14:val="tx1"/>
                  </w14:solidFill>
                </w14:textFill>
              </w:rPr>
              <w:t>12.</w:t>
            </w:r>
            <w:r>
              <w:rPr>
                <w:rStyle w:val="36"/>
                <w:color w:val="000000" w:themeColor="text1"/>
                <w:lang w:val="en-US" w:eastAsia="zh-CN" w:bidi="ar"/>
                <w14:textFill>
                  <w14:solidFill>
                    <w14:schemeClr w14:val="tx1"/>
                  </w14:solidFill>
                </w14:textFill>
              </w:rPr>
              <w:t>、设备组成：称重平台，不锈钢称重传感器，围栏，电子耳标识别器，称重控制仪表，光电开关，工业触屏电脑，称重管理软件，数据采集软件，数据上传牛场管理系统，控制箱，橡胶板等。</w:t>
            </w:r>
          </w:p>
        </w:tc>
        <w:tc>
          <w:tcPr>
            <w:tcW w:w="0" w:type="auto"/>
            <w:vMerge w:val="continue"/>
            <w:tcBorders>
              <w:top w:val="nil"/>
              <w:left w:val="nil"/>
              <w:bottom w:val="single" w:color="000000" w:sz="8" w:space="0"/>
              <w:right w:val="single" w:color="000000" w:sz="8" w:space="0"/>
            </w:tcBorders>
            <w:shd w:val="clear" w:color="auto" w:fill="auto"/>
            <w:noWrap/>
            <w:vAlign w:val="center"/>
          </w:tcPr>
          <w:p w14:paraId="4B6B8309">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auto" w:sz="4" w:space="0"/>
            </w:tcBorders>
            <w:shd w:val="clear" w:color="auto" w:fill="auto"/>
            <w:noWrap/>
            <w:vAlign w:val="center"/>
          </w:tcPr>
          <w:p w14:paraId="132325C2">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73002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0" w:type="auto"/>
            <w:vMerge w:val="restart"/>
            <w:tcBorders>
              <w:top w:val="nil"/>
              <w:left w:val="single" w:color="000000" w:sz="8" w:space="0"/>
              <w:bottom w:val="single" w:color="000000" w:sz="8" w:space="0"/>
              <w:right w:val="single" w:color="000000" w:sz="8" w:space="0"/>
            </w:tcBorders>
            <w:shd w:val="clear" w:color="auto" w:fill="auto"/>
            <w:noWrap/>
            <w:vAlign w:val="center"/>
          </w:tcPr>
          <w:p w14:paraId="324BA2D5">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716CFBD6">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降温风扇</w:t>
            </w:r>
          </w:p>
        </w:tc>
        <w:tc>
          <w:tcPr>
            <w:tcW w:w="5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7387F">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1、外壳塑料材质，扇叶采用201不锈钢材质；</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18DFDE95">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360</w:t>
            </w:r>
          </w:p>
        </w:tc>
        <w:tc>
          <w:tcPr>
            <w:tcW w:w="0" w:type="auto"/>
            <w:vMerge w:val="restart"/>
            <w:tcBorders>
              <w:top w:val="nil"/>
              <w:left w:val="nil"/>
              <w:bottom w:val="single" w:color="000000" w:sz="8" w:space="0"/>
              <w:right w:val="single" w:color="000000" w:sz="8" w:space="0"/>
            </w:tcBorders>
            <w:shd w:val="clear" w:color="auto" w:fill="auto"/>
            <w:noWrap/>
            <w:vAlign w:val="center"/>
          </w:tcPr>
          <w:p w14:paraId="1AA44154">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个</w:t>
            </w:r>
          </w:p>
        </w:tc>
      </w:tr>
      <w:tr w14:paraId="6CCCA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0" w:type="auto"/>
            <w:vMerge w:val="continue"/>
            <w:tcBorders>
              <w:top w:val="nil"/>
              <w:left w:val="single" w:color="000000" w:sz="8" w:space="0"/>
              <w:bottom w:val="single" w:color="auto" w:sz="4" w:space="0"/>
              <w:right w:val="single" w:color="000000" w:sz="8" w:space="0"/>
            </w:tcBorders>
            <w:shd w:val="clear" w:color="auto" w:fill="auto"/>
            <w:noWrap/>
            <w:vAlign w:val="center"/>
          </w:tcPr>
          <w:p w14:paraId="5C053D7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auto" w:sz="4" w:space="0"/>
              <w:right w:val="single" w:color="000000" w:sz="8" w:space="0"/>
            </w:tcBorders>
            <w:shd w:val="clear" w:color="auto" w:fill="auto"/>
            <w:noWrap/>
            <w:vAlign w:val="center"/>
          </w:tcPr>
          <w:p w14:paraId="3C24108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single" w:color="auto" w:sz="4" w:space="0"/>
              <w:right w:val="single" w:color="000000" w:sz="8" w:space="0"/>
            </w:tcBorders>
            <w:shd w:val="clear" w:color="auto" w:fill="auto"/>
            <w:vAlign w:val="center"/>
          </w:tcPr>
          <w:p w14:paraId="3BBFA270">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2、配套380V,410W电机，直径1.1米，四扇叶。</w:t>
            </w:r>
          </w:p>
        </w:tc>
        <w:tc>
          <w:tcPr>
            <w:tcW w:w="0" w:type="auto"/>
            <w:vMerge w:val="continue"/>
            <w:tcBorders>
              <w:top w:val="nil"/>
              <w:left w:val="nil"/>
              <w:bottom w:val="single" w:color="auto" w:sz="4" w:space="0"/>
              <w:right w:val="single" w:color="000000" w:sz="8" w:space="0"/>
            </w:tcBorders>
            <w:shd w:val="clear" w:color="auto" w:fill="auto"/>
            <w:noWrap/>
            <w:vAlign w:val="center"/>
          </w:tcPr>
          <w:p w14:paraId="6B5616F2">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auto" w:sz="4" w:space="0"/>
              <w:right w:val="single" w:color="000000" w:sz="8" w:space="0"/>
            </w:tcBorders>
            <w:shd w:val="clear" w:color="auto" w:fill="auto"/>
            <w:noWrap/>
            <w:vAlign w:val="center"/>
          </w:tcPr>
          <w:p w14:paraId="7CC9EA94">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6533D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0" w:hRule="atLeast"/>
          <w:jc w:val="center"/>
        </w:trPr>
        <w:tc>
          <w:tcPr>
            <w:tcW w:w="0" w:type="auto"/>
            <w:tcBorders>
              <w:top w:val="single" w:color="auto" w:sz="4" w:space="0"/>
              <w:left w:val="single" w:color="auto" w:sz="4" w:space="0"/>
              <w:bottom w:val="single" w:color="auto" w:sz="4" w:space="0"/>
              <w:right w:val="single" w:color="000000" w:sz="8" w:space="0"/>
            </w:tcBorders>
            <w:shd w:val="clear" w:color="auto" w:fill="auto"/>
            <w:noWrap/>
            <w:vAlign w:val="center"/>
          </w:tcPr>
          <w:p w14:paraId="42907436">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w:t>
            </w:r>
          </w:p>
        </w:tc>
        <w:tc>
          <w:tcPr>
            <w:tcW w:w="0" w:type="auto"/>
            <w:tcBorders>
              <w:top w:val="single" w:color="auto" w:sz="4" w:space="0"/>
              <w:left w:val="nil"/>
              <w:bottom w:val="single" w:color="auto" w:sz="4" w:space="0"/>
              <w:right w:val="single" w:color="000000" w:sz="8" w:space="0"/>
            </w:tcBorders>
            <w:shd w:val="clear" w:color="auto" w:fill="auto"/>
            <w:noWrap/>
            <w:vAlign w:val="center"/>
          </w:tcPr>
          <w:p w14:paraId="0EE8C390">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牛棚喷淋降温机</w:t>
            </w:r>
          </w:p>
        </w:tc>
        <w:tc>
          <w:tcPr>
            <w:tcW w:w="5033" w:type="dxa"/>
            <w:tcBorders>
              <w:top w:val="single" w:color="auto" w:sz="4" w:space="0"/>
              <w:left w:val="nil"/>
              <w:bottom w:val="single" w:color="auto" w:sz="4" w:space="0"/>
              <w:right w:val="single" w:color="000000" w:sz="8" w:space="0"/>
            </w:tcBorders>
            <w:shd w:val="clear" w:color="auto" w:fill="auto"/>
            <w:vAlign w:val="center"/>
          </w:tcPr>
          <w:p w14:paraId="0CD31F2B">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Style w:val="38"/>
                <w:color w:val="000000" w:themeColor="text1"/>
                <w:lang w:val="en-US" w:eastAsia="zh-CN" w:bidi="ar"/>
                <w14:textFill>
                  <w14:solidFill>
                    <w14:schemeClr w14:val="tx1"/>
                  </w14:solidFill>
                </w14:textFill>
              </w:rPr>
              <w:t>1、智能控制和维护方便</w:t>
            </w:r>
            <w:r>
              <w:rPr>
                <w:rStyle w:val="39"/>
                <w:rFonts w:eastAsia="宋体"/>
                <w:color w:val="000000" w:themeColor="text1"/>
                <w:lang w:val="en-US" w:eastAsia="zh-CN" w:bidi="ar"/>
                <w14:textFill>
                  <w14:solidFill>
                    <w14:schemeClr w14:val="tx1"/>
                  </w14:solidFill>
                </w14:textFill>
              </w:rPr>
              <w:t>‌</w:t>
            </w:r>
            <w:r>
              <w:rPr>
                <w:rStyle w:val="38"/>
                <w:color w:val="000000" w:themeColor="text1"/>
                <w:lang w:val="en-US" w:eastAsia="zh-CN" w:bidi="ar"/>
                <w14:textFill>
                  <w14:solidFill>
                    <w14:schemeClr w14:val="tx1"/>
                  </w14:solidFill>
                </w14:textFill>
              </w:rPr>
              <w:t>：现代智能风机和喷淋系统可以通过联网控制，实现定时开关、风速调节等功能。新型智能风机可以根据天气变化自动调整转速，遇到下雨天自动停机，操作更加便捷</w:t>
            </w:r>
            <w:r>
              <w:rPr>
                <w:rStyle w:val="39"/>
                <w:rFonts w:eastAsia="宋体"/>
                <w:color w:val="000000" w:themeColor="text1"/>
                <w:lang w:val="en-US" w:eastAsia="zh-CN" w:bidi="ar"/>
                <w14:textFill>
                  <w14:solidFill>
                    <w14:schemeClr w14:val="tx1"/>
                  </w14:solidFill>
                </w14:textFill>
              </w:rPr>
              <w:t>‌</w:t>
            </w:r>
            <w:r>
              <w:rPr>
                <w:rStyle w:val="38"/>
                <w:color w:val="000000" w:themeColor="text1"/>
                <w:lang w:val="en-US" w:eastAsia="zh-CN" w:bidi="ar"/>
                <w14:textFill>
                  <w14:solidFill>
                    <w14:schemeClr w14:val="tx1"/>
                  </w14:solidFill>
                </w14:textFill>
              </w:rPr>
              <w:t>；</w:t>
            </w:r>
            <w:r>
              <w:rPr>
                <w:rStyle w:val="38"/>
                <w:color w:val="000000" w:themeColor="text1"/>
                <w:lang w:val="en-US" w:eastAsia="zh-CN" w:bidi="ar"/>
                <w14:textFill>
                  <w14:solidFill>
                    <w14:schemeClr w14:val="tx1"/>
                  </w14:solidFill>
                </w14:textFill>
              </w:rPr>
              <w:br w:type="textWrapping"/>
            </w:r>
            <w:r>
              <w:rPr>
                <w:rStyle w:val="38"/>
                <w:color w:val="000000" w:themeColor="text1"/>
                <w:lang w:val="en-US" w:eastAsia="zh-CN" w:bidi="ar"/>
                <w14:textFill>
                  <w14:solidFill>
                    <w14:schemeClr w14:val="tx1"/>
                  </w14:solidFill>
                </w14:textFill>
              </w:rPr>
              <w:t>2、喷淋系统也具备智能控制功能，可以根据牛只的站位自动启停，减少人工干预，提高管理效率；</w:t>
            </w:r>
            <w:r>
              <w:rPr>
                <w:rStyle w:val="38"/>
                <w:color w:val="000000" w:themeColor="text1"/>
                <w:lang w:val="en-US" w:eastAsia="zh-CN" w:bidi="ar"/>
                <w14:textFill>
                  <w14:solidFill>
                    <w14:schemeClr w14:val="tx1"/>
                  </w14:solidFill>
                </w14:textFill>
              </w:rPr>
              <w:br w:type="textWrapping"/>
            </w:r>
            <w:r>
              <w:rPr>
                <w:rStyle w:val="38"/>
                <w:color w:val="000000" w:themeColor="text1"/>
                <w:lang w:val="en-US" w:eastAsia="zh-CN" w:bidi="ar"/>
                <w14:textFill>
                  <w14:solidFill>
                    <w14:schemeClr w14:val="tx1"/>
                  </w14:solidFill>
                </w14:textFill>
              </w:rPr>
              <w:t>3、减少设备投资和维护成本</w:t>
            </w:r>
            <w:r>
              <w:rPr>
                <w:rStyle w:val="39"/>
                <w:rFonts w:eastAsia="宋体"/>
                <w:color w:val="000000" w:themeColor="text1"/>
                <w:lang w:val="en-US" w:eastAsia="zh-CN" w:bidi="ar"/>
                <w14:textFill>
                  <w14:solidFill>
                    <w14:schemeClr w14:val="tx1"/>
                  </w14:solidFill>
                </w14:textFill>
              </w:rPr>
              <w:t>‌</w:t>
            </w:r>
            <w:r>
              <w:rPr>
                <w:rStyle w:val="38"/>
                <w:color w:val="000000" w:themeColor="text1"/>
                <w:lang w:val="en-US" w:eastAsia="zh-CN" w:bidi="ar"/>
                <w14:textFill>
                  <w14:solidFill>
                    <w14:schemeClr w14:val="tx1"/>
                  </w14:solidFill>
                </w14:textFill>
              </w:rPr>
              <w:t>：通过合理布置风机和喷淋系统，可以减少设备的投资和维护成本。例如，风扇高度设置在1.8-2米的位置，既能覆盖牛背又不影响饲喂通道作业</w:t>
            </w:r>
            <w:r>
              <w:rPr>
                <w:rStyle w:val="39"/>
                <w:rFonts w:eastAsia="宋体"/>
                <w:color w:val="000000" w:themeColor="text1"/>
                <w:lang w:val="en-US" w:eastAsia="zh-CN" w:bidi="ar"/>
                <w14:textFill>
                  <w14:solidFill>
                    <w14:schemeClr w14:val="tx1"/>
                  </w14:solidFill>
                </w14:textFill>
              </w:rPr>
              <w:t>‌</w:t>
            </w:r>
            <w:r>
              <w:rPr>
                <w:rStyle w:val="38"/>
                <w:color w:val="000000" w:themeColor="text1"/>
                <w:lang w:val="en-US" w:eastAsia="zh-CN" w:bidi="ar"/>
                <w14:textFill>
                  <w14:solidFill>
                    <w14:schemeClr w14:val="tx1"/>
                  </w14:solidFill>
                </w14:textFill>
              </w:rPr>
              <w:t>。</w:t>
            </w:r>
          </w:p>
        </w:tc>
        <w:tc>
          <w:tcPr>
            <w:tcW w:w="0" w:type="auto"/>
            <w:tcBorders>
              <w:top w:val="single" w:color="auto" w:sz="4" w:space="0"/>
              <w:left w:val="nil"/>
              <w:bottom w:val="single" w:color="auto" w:sz="4" w:space="0"/>
              <w:right w:val="single" w:color="000000" w:sz="8" w:space="0"/>
            </w:tcBorders>
            <w:shd w:val="clear" w:color="auto" w:fill="auto"/>
            <w:noWrap/>
            <w:vAlign w:val="center"/>
          </w:tcPr>
          <w:p w14:paraId="2F0A0B18">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2FD2EA16">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套</w:t>
            </w:r>
          </w:p>
        </w:tc>
      </w:tr>
      <w:tr w14:paraId="74757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jc w:val="center"/>
        </w:trPr>
        <w:tc>
          <w:tcPr>
            <w:tcW w:w="0" w:type="auto"/>
            <w:vMerge w:val="restart"/>
            <w:tcBorders>
              <w:top w:val="single" w:color="auto" w:sz="4" w:space="0"/>
              <w:left w:val="single" w:color="auto" w:sz="4" w:space="0"/>
              <w:bottom w:val="single" w:color="000000" w:sz="8" w:space="0"/>
              <w:right w:val="single" w:color="auto" w:sz="4" w:space="0"/>
            </w:tcBorders>
            <w:shd w:val="clear" w:color="auto" w:fill="auto"/>
            <w:noWrap/>
            <w:vAlign w:val="center"/>
          </w:tcPr>
          <w:p w14:paraId="1CFC12D8">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w:t>
            </w:r>
          </w:p>
        </w:tc>
        <w:tc>
          <w:tcPr>
            <w:tcW w:w="0" w:type="auto"/>
            <w:vMerge w:val="restart"/>
            <w:tcBorders>
              <w:top w:val="single" w:color="auto" w:sz="4" w:space="0"/>
              <w:left w:val="single" w:color="auto" w:sz="4" w:space="0"/>
              <w:bottom w:val="single" w:color="000000" w:sz="8" w:space="0"/>
              <w:right w:val="single" w:color="000000" w:sz="8" w:space="0"/>
            </w:tcBorders>
            <w:shd w:val="clear" w:color="auto" w:fill="auto"/>
            <w:noWrap/>
            <w:vAlign w:val="center"/>
          </w:tcPr>
          <w:p w14:paraId="1BC30C3C">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监控设备</w:t>
            </w:r>
          </w:p>
        </w:tc>
        <w:tc>
          <w:tcPr>
            <w:tcW w:w="5033" w:type="dxa"/>
            <w:tcBorders>
              <w:top w:val="single" w:color="auto" w:sz="4" w:space="0"/>
              <w:left w:val="single" w:color="000000" w:sz="4" w:space="0"/>
              <w:bottom w:val="single" w:color="000000" w:sz="4" w:space="0"/>
              <w:right w:val="single" w:color="000000" w:sz="4" w:space="0"/>
            </w:tcBorders>
            <w:shd w:val="clear" w:color="auto" w:fill="auto"/>
            <w:vAlign w:val="center"/>
          </w:tcPr>
          <w:p w14:paraId="6FE5549B">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核心参数：高性能4K NVR。可接驳符合ONVIF、RTSP标准的众多主流厂商网络摄像机；支持接入H.265、Smart265、H.264、Smart264视频编码码流；产品类型:8盘位网络录像机（NVR）;硬盘盘位:4个SATA接口硬盘盘位;最大单盘容量:支持最大10TB硬盘;视频接入路数:最大支持32路网络视频接入;录像分辨率:支持最高12MP(1200万像素)的视频录制;解码能力:支持4路1080P实时同步解码;视频输出:HDMI输出:1个，最高支持4K(3840x2160)分辨率,VGA输出:1个，最高支持1920x1080分辨率,支持HDMI+VGA异源输出;同步回放路数:支持4路同步回放;网络接口:1个千兆以太网口（RJ45），支持网络容错、负载均衡;USB接口:1个USB2.0，1个USB3.0接口;电源:100-240VAC，50/60Hz自适应;功耗:最大约35W（不含硬盘）;工作温度:-10°C~+55°C;机箱尺寸:440mm(宽)×495mm(深)×88mm(高)[标准2U高度];协议支持:支持ONVIF、GB/T28181，RTSP，CGI，PSA通用标准协议等</w:t>
            </w:r>
          </w:p>
        </w:tc>
        <w:tc>
          <w:tcPr>
            <w:tcW w:w="927" w:type="dxa"/>
            <w:tcBorders>
              <w:top w:val="single" w:color="auto" w:sz="4" w:space="0"/>
              <w:left w:val="nil"/>
              <w:bottom w:val="single" w:color="000000" w:sz="8" w:space="0"/>
              <w:right w:val="single" w:color="000000" w:sz="8" w:space="0"/>
            </w:tcBorders>
            <w:shd w:val="clear" w:color="auto" w:fill="auto"/>
            <w:vAlign w:val="center"/>
          </w:tcPr>
          <w:p w14:paraId="36D3B1DD">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w:t>
            </w:r>
          </w:p>
        </w:tc>
        <w:tc>
          <w:tcPr>
            <w:tcW w:w="858" w:type="dxa"/>
            <w:tcBorders>
              <w:top w:val="single" w:color="auto" w:sz="4" w:space="0"/>
              <w:left w:val="nil"/>
              <w:bottom w:val="single" w:color="000000" w:sz="8" w:space="0"/>
              <w:right w:val="single" w:color="000000" w:sz="8" w:space="0"/>
            </w:tcBorders>
            <w:shd w:val="clear" w:color="auto" w:fill="auto"/>
            <w:vAlign w:val="center"/>
          </w:tcPr>
          <w:p w14:paraId="5060ACF9">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r>
      <w:tr w14:paraId="5A6CD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40" w:hRule="atLeast"/>
          <w:jc w:val="center"/>
        </w:trPr>
        <w:tc>
          <w:tcPr>
            <w:tcW w:w="0" w:type="auto"/>
            <w:vMerge w:val="continue"/>
            <w:tcBorders>
              <w:top w:val="nil"/>
              <w:left w:val="single" w:color="auto" w:sz="4" w:space="0"/>
              <w:bottom w:val="single" w:color="auto" w:sz="4" w:space="0"/>
              <w:right w:val="single" w:color="auto" w:sz="4" w:space="0"/>
            </w:tcBorders>
            <w:shd w:val="clear" w:color="auto" w:fill="auto"/>
            <w:noWrap/>
            <w:vAlign w:val="center"/>
          </w:tcPr>
          <w:p w14:paraId="738929B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single" w:color="auto" w:sz="4" w:space="0"/>
              <w:bottom w:val="single" w:color="auto" w:sz="4" w:space="0"/>
              <w:right w:val="single" w:color="000000" w:sz="8" w:space="0"/>
            </w:tcBorders>
            <w:shd w:val="clear" w:color="auto" w:fill="auto"/>
            <w:noWrap/>
            <w:vAlign w:val="center"/>
          </w:tcPr>
          <w:p w14:paraId="47620AE1">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single" w:color="auto" w:sz="4" w:space="0"/>
              <w:right w:val="single" w:color="000000" w:sz="8" w:space="0"/>
            </w:tcBorders>
            <w:shd w:val="clear" w:color="auto" w:fill="auto"/>
            <w:vAlign w:val="center"/>
          </w:tcPr>
          <w:p w14:paraId="3B82C8A9">
            <w:pPr>
              <w:keepNext w:val="0"/>
              <w:keepLines w:val="0"/>
              <w:widowControl/>
              <w:suppressLineNumbers w:val="0"/>
              <w:spacing w:after="180" w:afterAutospacing="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监控专用硬盘。1. 规格：3.5英寸、10TB容量，CMR传统磁记录，SATA 6Gb/s标准接口，适配NVR/DVR监控主机。2. 性能：转速7200转，缓存≥256MB，顺序读取≥210MB/s，支持4K原生扇区、NCQ指令队列，可稳定承载≥64路高清视频录像。3. 可靠性：专为7×24小时不间断录像设计，年均工作负载≥180TB，MTBF≥10万小时，内置多盘位振动补偿、硬件ECC纠错、断电磁头保护。4. 适配：支持RAID磁盘阵列、标准SMART硬盘健康检测，兼容全品牌监控录像机，工作温度0℃~60℃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p>
        </w:tc>
        <w:tc>
          <w:tcPr>
            <w:tcW w:w="927" w:type="dxa"/>
            <w:tcBorders>
              <w:top w:val="nil"/>
              <w:left w:val="nil"/>
              <w:bottom w:val="single" w:color="auto" w:sz="4" w:space="0"/>
              <w:right w:val="single" w:color="000000" w:sz="8" w:space="0"/>
            </w:tcBorders>
            <w:shd w:val="clear" w:color="auto" w:fill="auto"/>
            <w:vAlign w:val="center"/>
          </w:tcPr>
          <w:p w14:paraId="0A68A354">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w:t>
            </w:r>
          </w:p>
        </w:tc>
        <w:tc>
          <w:tcPr>
            <w:tcW w:w="858" w:type="dxa"/>
            <w:tcBorders>
              <w:top w:val="nil"/>
              <w:left w:val="nil"/>
              <w:bottom w:val="single" w:color="auto" w:sz="4" w:space="0"/>
              <w:right w:val="single" w:color="000000" w:sz="8" w:space="0"/>
            </w:tcBorders>
            <w:shd w:val="clear" w:color="auto" w:fill="auto"/>
            <w:vAlign w:val="center"/>
          </w:tcPr>
          <w:p w14:paraId="6E09F8EE">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块</w:t>
            </w:r>
          </w:p>
        </w:tc>
      </w:tr>
      <w:tr w14:paraId="3CF18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0" w:hRule="atLeast"/>
          <w:jc w:val="center"/>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340034A5">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F9EE81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single" w:color="auto" w:sz="4" w:space="0"/>
              <w:bottom w:val="single" w:color="auto" w:sz="4" w:space="0"/>
              <w:right w:val="single" w:color="000000" w:sz="8" w:space="0"/>
            </w:tcBorders>
            <w:shd w:val="clear" w:color="auto" w:fill="auto"/>
            <w:vAlign w:val="center"/>
          </w:tcPr>
          <w:p w14:paraId="5FE09552">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高清摄像头。400万像素网络摄像机，支持smart功能智能事件：移动侦测（支持人形检测），异常2；接口音频：1个内置麦克风；网口：1个RJ45 10M/100M自适应以太网口、补光红外波长范围：850nm防补光过曝；支持补光灯类型：智能补光，网络同时预览路数：最多6路同时网页预览，支持通用标准视频管理客户端，兼容符合ONVIF协议的第三方监控管理平台；浏览器：Chrome 80+，Firefox 80+，Edge 89+，Safari 13及以上；接口协议（API）：开放型网络视频接口，ISUP，SDK，GB28181协议，TCP/IP，ICMP，HTTP，DHCP，DNS，RTP，RTSP，RCTP，NTP，FTP，QoS，UPnP，Bonjour，SSL/TLS，HTTPS，DDNS，IPv4，IPv6；一般规范启动及工作温湿度：-30℃~60℃，湿度小于95%（无凝结）存储温湿度：-30℃~60℃，湿度小于95%（无凝结）联动方式：上传中心通用功能：心跳，密码保护，水印技术恢复出厂设置；支持客户端或浏览器恢复供电方式：DC 12 V ±25%，支持防反接保护 PoE 机型支持：IEEE 802.3af，Class 3电流及功耗：DC 12 V，0.42 A，最大功耗：5 W PoE机型支持：IEEE 802.3af，CLASS 3，最大功耗：6.5 W；电源接口类型：6.5 mm 圆口产品尺寸：不大于88 × 172 mm；包装尺寸：216 × 121 × 118 mm；设备重量：360 g 带包装重量：540 g；视频最大分辨率：2560 × 1440 主码流帧率分辨率：50 Hz：25 fps（2560 × 1440，1920 × 1080，1280 × 720）子码流帧率分辨率：50 Hz：25 fps（768 × 432，640 × 480，640 × 360）视频压缩标准：主码流：H.265/H.264/Smart264/Smart265，支持超级智能编码子码流：H.265/H.264 视频码率控制：32 Kbps~8 Mbps；H.264编码类型：BaseLine Profile/Main Profile/High Profile；H.265编码类型：Main Profile；码率控制：定码率，最低照度：彩色：0.005 Lux；快门：1/3 s~1/100,000 s；日夜切换模式：ICR红外滤片式宽动态：数字宽动态。</w:t>
            </w:r>
          </w:p>
        </w:tc>
        <w:tc>
          <w:tcPr>
            <w:tcW w:w="927" w:type="dxa"/>
            <w:tcBorders>
              <w:top w:val="single" w:color="auto" w:sz="4" w:space="0"/>
              <w:left w:val="nil"/>
              <w:bottom w:val="single" w:color="auto" w:sz="4" w:space="0"/>
              <w:right w:val="single" w:color="000000" w:sz="8" w:space="0"/>
            </w:tcBorders>
            <w:shd w:val="clear" w:color="auto" w:fill="auto"/>
            <w:vAlign w:val="center"/>
          </w:tcPr>
          <w:p w14:paraId="001C9A7A">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w:t>
            </w:r>
          </w:p>
        </w:tc>
        <w:tc>
          <w:tcPr>
            <w:tcW w:w="858" w:type="dxa"/>
            <w:tcBorders>
              <w:top w:val="single" w:color="auto" w:sz="4" w:space="0"/>
              <w:left w:val="nil"/>
              <w:bottom w:val="single" w:color="auto" w:sz="4" w:space="0"/>
              <w:right w:val="single" w:color="auto" w:sz="4" w:space="0"/>
            </w:tcBorders>
            <w:shd w:val="clear" w:color="auto" w:fill="auto"/>
            <w:vAlign w:val="center"/>
          </w:tcPr>
          <w:p w14:paraId="2A491779">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个</w:t>
            </w:r>
          </w:p>
        </w:tc>
      </w:tr>
      <w:tr w14:paraId="1F093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5" w:hRule="atLeast"/>
          <w:jc w:val="center"/>
        </w:trPr>
        <w:tc>
          <w:tcPr>
            <w:tcW w:w="0" w:type="auto"/>
            <w:vMerge w:val="continue"/>
            <w:tcBorders>
              <w:top w:val="single" w:color="auto" w:sz="4" w:space="0"/>
              <w:left w:val="single" w:color="auto" w:sz="4" w:space="0"/>
              <w:bottom w:val="single" w:color="000000" w:sz="8" w:space="0"/>
              <w:right w:val="single" w:color="auto" w:sz="4" w:space="0"/>
            </w:tcBorders>
            <w:shd w:val="clear" w:color="auto" w:fill="auto"/>
            <w:noWrap/>
            <w:vAlign w:val="center"/>
          </w:tcPr>
          <w:p w14:paraId="45281342">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000000" w:sz="8" w:space="0"/>
              <w:right w:val="single" w:color="000000" w:sz="8" w:space="0"/>
            </w:tcBorders>
            <w:shd w:val="clear" w:color="auto" w:fill="auto"/>
            <w:noWrap/>
            <w:vAlign w:val="center"/>
          </w:tcPr>
          <w:p w14:paraId="1161F631">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nil"/>
              <w:bottom w:val="single" w:color="000000" w:sz="8" w:space="0"/>
              <w:right w:val="single" w:color="000000" w:sz="8" w:space="0"/>
            </w:tcBorders>
            <w:shd w:val="clear" w:color="auto" w:fill="auto"/>
            <w:vAlign w:val="center"/>
          </w:tcPr>
          <w:p w14:paraId="313A0842">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超五类网线。产品类型 U/UTP CAT5E-4P-PVC-CMX；芯线导体无氧铜，符合国标CAT5E传输标准；绝缘高密度聚乙烯绝缘外皮；外护套PVC CMX阻燃材质，符合RoHS环保标准，支持千兆网络传输。</w:t>
            </w:r>
          </w:p>
        </w:tc>
        <w:tc>
          <w:tcPr>
            <w:tcW w:w="927" w:type="dxa"/>
            <w:tcBorders>
              <w:top w:val="single" w:color="auto" w:sz="4" w:space="0"/>
              <w:left w:val="nil"/>
              <w:bottom w:val="single" w:color="000000" w:sz="8" w:space="0"/>
              <w:right w:val="single" w:color="000000" w:sz="8" w:space="0"/>
            </w:tcBorders>
            <w:shd w:val="clear" w:color="auto" w:fill="auto"/>
            <w:vAlign w:val="center"/>
          </w:tcPr>
          <w:p w14:paraId="059AF54B">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50</w:t>
            </w:r>
          </w:p>
        </w:tc>
        <w:tc>
          <w:tcPr>
            <w:tcW w:w="858" w:type="dxa"/>
            <w:tcBorders>
              <w:top w:val="single" w:color="auto" w:sz="4" w:space="0"/>
              <w:left w:val="nil"/>
              <w:bottom w:val="single" w:color="000000" w:sz="8" w:space="0"/>
              <w:right w:val="single" w:color="000000" w:sz="8" w:space="0"/>
            </w:tcBorders>
            <w:shd w:val="clear" w:color="auto" w:fill="auto"/>
            <w:vAlign w:val="center"/>
          </w:tcPr>
          <w:p w14:paraId="4FB28586">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箱</w:t>
            </w:r>
          </w:p>
        </w:tc>
      </w:tr>
      <w:tr w14:paraId="45346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3EEECBED">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single" w:color="auto" w:sz="4" w:space="0"/>
              <w:bottom w:val="single" w:color="000000" w:sz="8" w:space="0"/>
              <w:right w:val="single" w:color="000000" w:sz="8" w:space="0"/>
            </w:tcBorders>
            <w:shd w:val="clear" w:color="auto" w:fill="auto"/>
            <w:noWrap/>
            <w:vAlign w:val="center"/>
          </w:tcPr>
          <w:p w14:paraId="44B182FF">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single" w:color="000000" w:sz="8" w:space="0"/>
              <w:right w:val="single" w:color="000000" w:sz="8" w:space="0"/>
            </w:tcBorders>
            <w:shd w:val="clear" w:color="auto" w:fill="auto"/>
            <w:vAlign w:val="center"/>
          </w:tcPr>
          <w:p w14:paraId="5B471BB2">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枪机支架。U型一体加厚专用枪机支架</w:t>
            </w:r>
          </w:p>
        </w:tc>
        <w:tc>
          <w:tcPr>
            <w:tcW w:w="927" w:type="dxa"/>
            <w:tcBorders>
              <w:top w:val="nil"/>
              <w:left w:val="nil"/>
              <w:bottom w:val="single" w:color="000000" w:sz="8" w:space="0"/>
              <w:right w:val="single" w:color="000000" w:sz="8" w:space="0"/>
            </w:tcBorders>
            <w:shd w:val="clear" w:color="auto" w:fill="auto"/>
            <w:vAlign w:val="center"/>
          </w:tcPr>
          <w:p w14:paraId="1D5C50D6">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w:t>
            </w:r>
          </w:p>
        </w:tc>
        <w:tc>
          <w:tcPr>
            <w:tcW w:w="858" w:type="dxa"/>
            <w:tcBorders>
              <w:top w:val="nil"/>
              <w:left w:val="nil"/>
              <w:bottom w:val="single" w:color="000000" w:sz="8" w:space="0"/>
              <w:right w:val="single" w:color="000000" w:sz="8" w:space="0"/>
            </w:tcBorders>
            <w:shd w:val="clear" w:color="auto" w:fill="auto"/>
            <w:vAlign w:val="center"/>
          </w:tcPr>
          <w:p w14:paraId="21DCD9FF">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个</w:t>
            </w:r>
          </w:p>
        </w:tc>
      </w:tr>
      <w:tr w14:paraId="1F7BE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126354AC">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single" w:color="auto" w:sz="4" w:space="0"/>
              <w:bottom w:val="single" w:color="auto" w:sz="4" w:space="0"/>
              <w:right w:val="single" w:color="000000" w:sz="8" w:space="0"/>
            </w:tcBorders>
            <w:shd w:val="clear" w:color="auto" w:fill="auto"/>
            <w:noWrap/>
            <w:vAlign w:val="center"/>
          </w:tcPr>
          <w:p w14:paraId="44C4BF0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single" w:color="auto" w:sz="4" w:space="0"/>
              <w:right w:val="single" w:color="000000" w:sz="8" w:space="0"/>
            </w:tcBorders>
            <w:shd w:val="clear" w:color="auto" w:fill="auto"/>
            <w:vAlign w:val="center"/>
          </w:tcPr>
          <w:p w14:paraId="059B2E3D">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机房汇聚交换机。支持IEEE 802.3at/af支持IEEE 802.3、IEEE 802.3u、IEEE 802.3x、IEEE802.3ab、IEEE802.3z支持6 KV防浪涌（PoE口）支持PoE输出功率管理千兆网络接入设计线速转发、无阻塞设计存储转发交换方式坚固式高强度金属外壳无风扇设计，高可靠性</w:t>
            </w:r>
          </w:p>
        </w:tc>
        <w:tc>
          <w:tcPr>
            <w:tcW w:w="927" w:type="dxa"/>
            <w:tcBorders>
              <w:top w:val="nil"/>
              <w:left w:val="nil"/>
              <w:bottom w:val="single" w:color="auto" w:sz="4" w:space="0"/>
              <w:right w:val="single" w:color="000000" w:sz="8" w:space="0"/>
            </w:tcBorders>
            <w:shd w:val="clear" w:color="auto" w:fill="auto"/>
            <w:vAlign w:val="center"/>
          </w:tcPr>
          <w:p w14:paraId="5EC2F51A">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w:t>
            </w:r>
          </w:p>
        </w:tc>
        <w:tc>
          <w:tcPr>
            <w:tcW w:w="858" w:type="dxa"/>
            <w:tcBorders>
              <w:top w:val="nil"/>
              <w:left w:val="nil"/>
              <w:bottom w:val="single" w:color="auto" w:sz="4" w:space="0"/>
              <w:right w:val="single" w:color="000000" w:sz="8" w:space="0"/>
            </w:tcBorders>
            <w:shd w:val="clear" w:color="auto" w:fill="auto"/>
            <w:vAlign w:val="center"/>
          </w:tcPr>
          <w:p w14:paraId="476C4E51">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r>
      <w:tr w14:paraId="66366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jc w:val="center"/>
        </w:trPr>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60E6EFFD">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000000" w:sz="8" w:space="0"/>
              <w:right w:val="single" w:color="auto" w:sz="4" w:space="0"/>
            </w:tcBorders>
            <w:shd w:val="clear" w:color="auto" w:fill="auto"/>
            <w:noWrap/>
            <w:vAlign w:val="center"/>
          </w:tcPr>
          <w:p w14:paraId="522913FF">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single" w:color="auto" w:sz="4" w:space="0"/>
              <w:bottom w:val="single" w:color="000000" w:sz="8" w:space="0"/>
              <w:right w:val="single" w:color="auto" w:sz="4" w:space="0"/>
            </w:tcBorders>
            <w:shd w:val="clear" w:color="auto" w:fill="auto"/>
            <w:vAlign w:val="center"/>
          </w:tcPr>
          <w:p w14:paraId="229A14F2">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节点交换机。支持IEEE 802.3at/af支持IEEE 802.3、IEEE 802.3u、IEEE 802.3x、IEEE802.3ab、IEEE802.3z支持6 KV防浪涌（PoE口）支持PoE输出功率管理千兆网络接入设计线速转发、无阻塞设计存储转发交换方式坚固式高强度金属外壳无风扇设计，高可靠性</w:t>
            </w:r>
          </w:p>
        </w:tc>
        <w:tc>
          <w:tcPr>
            <w:tcW w:w="927" w:type="dxa"/>
            <w:tcBorders>
              <w:top w:val="single" w:color="auto" w:sz="4" w:space="0"/>
              <w:left w:val="single" w:color="auto" w:sz="4" w:space="0"/>
              <w:bottom w:val="single" w:color="000000" w:sz="8" w:space="0"/>
              <w:right w:val="single" w:color="000000" w:sz="8" w:space="0"/>
            </w:tcBorders>
            <w:shd w:val="clear" w:color="auto" w:fill="auto"/>
            <w:vAlign w:val="center"/>
          </w:tcPr>
          <w:p w14:paraId="4EFE2741">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22</w:t>
            </w:r>
          </w:p>
        </w:tc>
        <w:tc>
          <w:tcPr>
            <w:tcW w:w="858" w:type="dxa"/>
            <w:tcBorders>
              <w:top w:val="single" w:color="auto" w:sz="4" w:space="0"/>
              <w:left w:val="nil"/>
              <w:bottom w:val="single" w:color="000000" w:sz="8" w:space="0"/>
              <w:right w:val="single" w:color="auto" w:sz="4" w:space="0"/>
            </w:tcBorders>
            <w:shd w:val="clear" w:color="auto" w:fill="auto"/>
            <w:vAlign w:val="center"/>
          </w:tcPr>
          <w:p w14:paraId="2402DFC8">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r>
      <w:tr w14:paraId="7F0C2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1841E181">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4B1D47ED">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single" w:color="auto" w:sz="4" w:space="0"/>
              <w:bottom w:val="single" w:color="000000" w:sz="8" w:space="0"/>
              <w:right w:val="single" w:color="auto" w:sz="4" w:space="0"/>
            </w:tcBorders>
            <w:shd w:val="clear" w:color="auto" w:fill="auto"/>
            <w:vAlign w:val="center"/>
          </w:tcPr>
          <w:p w14:paraId="4576FB2D">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显示器。24寸led显示器，支持HDMI、VGA输出</w:t>
            </w:r>
          </w:p>
        </w:tc>
        <w:tc>
          <w:tcPr>
            <w:tcW w:w="927" w:type="dxa"/>
            <w:tcBorders>
              <w:top w:val="nil"/>
              <w:left w:val="single" w:color="auto" w:sz="4" w:space="0"/>
              <w:bottom w:val="single" w:color="000000" w:sz="8" w:space="0"/>
              <w:right w:val="single" w:color="000000" w:sz="8" w:space="0"/>
            </w:tcBorders>
            <w:shd w:val="clear" w:color="auto" w:fill="auto"/>
            <w:vAlign w:val="center"/>
          </w:tcPr>
          <w:p w14:paraId="3BE13439">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w:t>
            </w:r>
          </w:p>
        </w:tc>
        <w:tc>
          <w:tcPr>
            <w:tcW w:w="858" w:type="dxa"/>
            <w:tcBorders>
              <w:top w:val="nil"/>
              <w:left w:val="nil"/>
              <w:bottom w:val="single" w:color="000000" w:sz="8" w:space="0"/>
              <w:right w:val="single" w:color="auto" w:sz="4" w:space="0"/>
            </w:tcBorders>
            <w:shd w:val="clear" w:color="auto" w:fill="auto"/>
            <w:vAlign w:val="center"/>
          </w:tcPr>
          <w:p w14:paraId="3361510A">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r>
      <w:tr w14:paraId="021E5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22CCCE52">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388FE12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single" w:color="auto" w:sz="4" w:space="0"/>
              <w:bottom w:val="single" w:color="000000" w:sz="8" w:space="0"/>
              <w:right w:val="single" w:color="auto" w:sz="4" w:space="0"/>
            </w:tcBorders>
            <w:shd w:val="clear" w:color="auto" w:fill="auto"/>
            <w:vAlign w:val="center"/>
          </w:tcPr>
          <w:p w14:paraId="414DA68B">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弱电箱。不锈钢弱电箱</w:t>
            </w:r>
          </w:p>
        </w:tc>
        <w:tc>
          <w:tcPr>
            <w:tcW w:w="927" w:type="dxa"/>
            <w:tcBorders>
              <w:top w:val="nil"/>
              <w:left w:val="single" w:color="auto" w:sz="4" w:space="0"/>
              <w:bottom w:val="single" w:color="000000" w:sz="8" w:space="0"/>
              <w:right w:val="single" w:color="000000" w:sz="8" w:space="0"/>
            </w:tcBorders>
            <w:shd w:val="clear" w:color="auto" w:fill="auto"/>
            <w:vAlign w:val="center"/>
          </w:tcPr>
          <w:p w14:paraId="780A665A">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22</w:t>
            </w:r>
          </w:p>
        </w:tc>
        <w:tc>
          <w:tcPr>
            <w:tcW w:w="858" w:type="dxa"/>
            <w:tcBorders>
              <w:top w:val="nil"/>
              <w:left w:val="nil"/>
              <w:bottom w:val="single" w:color="000000" w:sz="8" w:space="0"/>
              <w:right w:val="single" w:color="auto" w:sz="4" w:space="0"/>
            </w:tcBorders>
            <w:shd w:val="clear" w:color="auto" w:fill="auto"/>
            <w:vAlign w:val="center"/>
          </w:tcPr>
          <w:p w14:paraId="0CDD18B9">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个</w:t>
            </w:r>
          </w:p>
        </w:tc>
      </w:tr>
      <w:tr w14:paraId="65D2D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jc w:val="center"/>
        </w:trPr>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0CBA5FB1">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3CE88AD4">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single" w:color="auto" w:sz="4" w:space="0"/>
              <w:bottom w:val="single" w:color="000000" w:sz="8" w:space="0"/>
              <w:right w:val="single" w:color="auto" w:sz="4" w:space="0"/>
            </w:tcBorders>
            <w:shd w:val="clear" w:color="auto" w:fill="auto"/>
            <w:vAlign w:val="center"/>
          </w:tcPr>
          <w:p w14:paraId="2041205F">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光纤收发器。千兆，单模单纤，1个SC光口，1个千兆电口，传输3公里</w:t>
            </w:r>
          </w:p>
        </w:tc>
        <w:tc>
          <w:tcPr>
            <w:tcW w:w="927" w:type="dxa"/>
            <w:tcBorders>
              <w:top w:val="nil"/>
              <w:left w:val="single" w:color="auto" w:sz="4" w:space="0"/>
              <w:bottom w:val="single" w:color="000000" w:sz="8" w:space="0"/>
              <w:right w:val="single" w:color="000000" w:sz="8" w:space="0"/>
            </w:tcBorders>
            <w:shd w:val="clear" w:color="auto" w:fill="auto"/>
            <w:vAlign w:val="center"/>
          </w:tcPr>
          <w:p w14:paraId="0351683F">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22</w:t>
            </w:r>
          </w:p>
        </w:tc>
        <w:tc>
          <w:tcPr>
            <w:tcW w:w="858" w:type="dxa"/>
            <w:tcBorders>
              <w:top w:val="nil"/>
              <w:left w:val="nil"/>
              <w:bottom w:val="single" w:color="000000" w:sz="8" w:space="0"/>
              <w:right w:val="single" w:color="auto" w:sz="4" w:space="0"/>
            </w:tcBorders>
            <w:shd w:val="clear" w:color="auto" w:fill="auto"/>
            <w:vAlign w:val="center"/>
          </w:tcPr>
          <w:p w14:paraId="5631AAC7">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对</w:t>
            </w:r>
          </w:p>
        </w:tc>
      </w:tr>
      <w:tr w14:paraId="49851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32D2439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66EC60CD">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single" w:color="auto" w:sz="4" w:space="0"/>
              <w:bottom w:val="single" w:color="000000" w:sz="8" w:space="0"/>
              <w:right w:val="single" w:color="auto" w:sz="4" w:space="0"/>
            </w:tcBorders>
            <w:shd w:val="clear" w:color="auto" w:fill="auto"/>
            <w:vAlign w:val="center"/>
          </w:tcPr>
          <w:p w14:paraId="522F4699">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电缆。国标RVV2*1.5*200M</w:t>
            </w:r>
          </w:p>
        </w:tc>
        <w:tc>
          <w:tcPr>
            <w:tcW w:w="927" w:type="dxa"/>
            <w:tcBorders>
              <w:top w:val="nil"/>
              <w:left w:val="single" w:color="auto" w:sz="4" w:space="0"/>
              <w:bottom w:val="single" w:color="000000" w:sz="8" w:space="0"/>
              <w:right w:val="single" w:color="000000" w:sz="8" w:space="0"/>
            </w:tcBorders>
            <w:shd w:val="clear" w:color="auto" w:fill="auto"/>
            <w:vAlign w:val="center"/>
          </w:tcPr>
          <w:p w14:paraId="2A76CEE1">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30</w:t>
            </w:r>
          </w:p>
        </w:tc>
        <w:tc>
          <w:tcPr>
            <w:tcW w:w="858" w:type="dxa"/>
            <w:tcBorders>
              <w:top w:val="nil"/>
              <w:left w:val="nil"/>
              <w:bottom w:val="single" w:color="000000" w:sz="8" w:space="0"/>
              <w:right w:val="single" w:color="auto" w:sz="4" w:space="0"/>
            </w:tcBorders>
            <w:shd w:val="clear" w:color="auto" w:fill="auto"/>
            <w:vAlign w:val="center"/>
          </w:tcPr>
          <w:p w14:paraId="7706981E">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盘</w:t>
            </w:r>
          </w:p>
        </w:tc>
      </w:tr>
      <w:tr w14:paraId="39345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37737492">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6EE4BFD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single" w:color="auto" w:sz="4" w:space="0"/>
              <w:bottom w:val="single" w:color="000000" w:sz="8" w:space="0"/>
              <w:right w:val="single" w:color="auto" w:sz="4" w:space="0"/>
            </w:tcBorders>
            <w:shd w:val="clear" w:color="auto" w:fill="auto"/>
            <w:vAlign w:val="center"/>
          </w:tcPr>
          <w:p w14:paraId="2A3C472D">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光缆。电信级16芯抗拉防老化光缆</w:t>
            </w:r>
          </w:p>
        </w:tc>
        <w:tc>
          <w:tcPr>
            <w:tcW w:w="927" w:type="dxa"/>
            <w:tcBorders>
              <w:top w:val="nil"/>
              <w:left w:val="single" w:color="auto" w:sz="4" w:space="0"/>
              <w:bottom w:val="single" w:color="000000" w:sz="8" w:space="0"/>
              <w:right w:val="single" w:color="000000" w:sz="8" w:space="0"/>
            </w:tcBorders>
            <w:shd w:val="clear" w:color="auto" w:fill="auto"/>
            <w:vAlign w:val="center"/>
          </w:tcPr>
          <w:p w14:paraId="5EEF6ECC">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3000</w:t>
            </w:r>
          </w:p>
        </w:tc>
        <w:tc>
          <w:tcPr>
            <w:tcW w:w="858" w:type="dxa"/>
            <w:tcBorders>
              <w:top w:val="nil"/>
              <w:left w:val="nil"/>
              <w:bottom w:val="single" w:color="000000" w:sz="8" w:space="0"/>
              <w:right w:val="single" w:color="auto" w:sz="4" w:space="0"/>
            </w:tcBorders>
            <w:shd w:val="clear" w:color="auto" w:fill="auto"/>
            <w:vAlign w:val="center"/>
          </w:tcPr>
          <w:p w14:paraId="6A0CB3D7">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r>
      <w:tr w14:paraId="27497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7C24EE64">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6575CD2D">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single" w:color="auto" w:sz="4" w:space="0"/>
              <w:bottom w:val="single" w:color="000000" w:sz="8" w:space="0"/>
              <w:right w:val="single" w:color="auto" w:sz="4" w:space="0"/>
            </w:tcBorders>
            <w:shd w:val="clear" w:color="auto" w:fill="auto"/>
            <w:vAlign w:val="center"/>
          </w:tcPr>
          <w:p w14:paraId="455A6772">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线管。PVC阻燃线管</w:t>
            </w:r>
          </w:p>
        </w:tc>
        <w:tc>
          <w:tcPr>
            <w:tcW w:w="927" w:type="dxa"/>
            <w:tcBorders>
              <w:top w:val="nil"/>
              <w:left w:val="single" w:color="auto" w:sz="4" w:space="0"/>
              <w:bottom w:val="single" w:color="000000" w:sz="8" w:space="0"/>
              <w:right w:val="single" w:color="000000" w:sz="8" w:space="0"/>
            </w:tcBorders>
            <w:shd w:val="clear" w:color="auto" w:fill="auto"/>
            <w:vAlign w:val="center"/>
          </w:tcPr>
          <w:p w14:paraId="5560107D">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2000</w:t>
            </w:r>
          </w:p>
        </w:tc>
        <w:tc>
          <w:tcPr>
            <w:tcW w:w="858" w:type="dxa"/>
            <w:tcBorders>
              <w:top w:val="nil"/>
              <w:left w:val="nil"/>
              <w:bottom w:val="single" w:color="000000" w:sz="8" w:space="0"/>
              <w:right w:val="single" w:color="auto" w:sz="4" w:space="0"/>
            </w:tcBorders>
            <w:shd w:val="clear" w:color="auto" w:fill="auto"/>
            <w:vAlign w:val="center"/>
          </w:tcPr>
          <w:p w14:paraId="21CE8E58">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根</w:t>
            </w:r>
          </w:p>
        </w:tc>
      </w:tr>
      <w:tr w14:paraId="6A1A5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195F7C4F">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1F498315">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single" w:color="auto" w:sz="4" w:space="0"/>
              <w:bottom w:val="single" w:color="auto" w:sz="4" w:space="0"/>
              <w:right w:val="single" w:color="auto" w:sz="4" w:space="0"/>
            </w:tcBorders>
            <w:shd w:val="clear" w:color="auto" w:fill="auto"/>
            <w:vAlign w:val="center"/>
          </w:tcPr>
          <w:p w14:paraId="62429919">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黑色32U机柜</w:t>
            </w:r>
          </w:p>
        </w:tc>
        <w:tc>
          <w:tcPr>
            <w:tcW w:w="927" w:type="dxa"/>
            <w:vMerge w:val="restart"/>
            <w:tcBorders>
              <w:top w:val="nil"/>
              <w:left w:val="single" w:color="auto" w:sz="4" w:space="0"/>
              <w:bottom w:val="single" w:color="auto" w:sz="4" w:space="0"/>
              <w:right w:val="single" w:color="000000" w:sz="8" w:space="0"/>
            </w:tcBorders>
            <w:shd w:val="clear" w:color="auto" w:fill="auto"/>
            <w:vAlign w:val="center"/>
          </w:tcPr>
          <w:p w14:paraId="05CE7025">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w:t>
            </w:r>
          </w:p>
        </w:tc>
        <w:tc>
          <w:tcPr>
            <w:tcW w:w="858" w:type="dxa"/>
            <w:vMerge w:val="restart"/>
            <w:tcBorders>
              <w:top w:val="nil"/>
              <w:left w:val="nil"/>
              <w:bottom w:val="single" w:color="auto" w:sz="4" w:space="0"/>
              <w:right w:val="single" w:color="auto" w:sz="4" w:space="0"/>
            </w:tcBorders>
            <w:shd w:val="clear" w:color="auto" w:fill="auto"/>
            <w:vAlign w:val="center"/>
          </w:tcPr>
          <w:p w14:paraId="38F578C2">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r>
      <w:tr w14:paraId="55975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2011445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single" w:color="auto" w:sz="4" w:space="0"/>
              <w:bottom w:val="single" w:color="000000" w:sz="8" w:space="0"/>
              <w:right w:val="single" w:color="000000" w:sz="8" w:space="0"/>
            </w:tcBorders>
            <w:shd w:val="clear" w:color="auto" w:fill="auto"/>
            <w:noWrap/>
            <w:vAlign w:val="center"/>
          </w:tcPr>
          <w:p w14:paraId="37305AD5">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nil"/>
              <w:bottom w:val="nil"/>
              <w:right w:val="single" w:color="auto" w:sz="4" w:space="0"/>
            </w:tcBorders>
            <w:shd w:val="clear" w:color="auto" w:fill="auto"/>
            <w:vAlign w:val="center"/>
          </w:tcPr>
          <w:p w14:paraId="330E6DA2">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机柜。宽600*深600*高1400mm</w:t>
            </w:r>
          </w:p>
        </w:tc>
        <w:tc>
          <w:tcPr>
            <w:tcW w:w="927" w:type="dxa"/>
            <w:vMerge w:val="continue"/>
            <w:tcBorders>
              <w:top w:val="single" w:color="auto" w:sz="4" w:space="0"/>
              <w:left w:val="single" w:color="auto" w:sz="4" w:space="0"/>
              <w:bottom w:val="single" w:color="000000" w:sz="8" w:space="0"/>
              <w:right w:val="single" w:color="000000" w:sz="8" w:space="0"/>
            </w:tcBorders>
            <w:shd w:val="clear" w:color="auto" w:fill="auto"/>
            <w:vAlign w:val="center"/>
          </w:tcPr>
          <w:p w14:paraId="5B5A401D">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858" w:type="dxa"/>
            <w:vMerge w:val="continue"/>
            <w:tcBorders>
              <w:top w:val="single" w:color="auto" w:sz="4" w:space="0"/>
              <w:left w:val="nil"/>
              <w:bottom w:val="single" w:color="000000" w:sz="8" w:space="0"/>
              <w:right w:val="single" w:color="auto" w:sz="4" w:space="0"/>
            </w:tcBorders>
            <w:shd w:val="clear" w:color="auto" w:fill="auto"/>
            <w:vAlign w:val="center"/>
          </w:tcPr>
          <w:p w14:paraId="048187DC">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0DD9C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vMerge w:val="continue"/>
            <w:tcBorders>
              <w:top w:val="nil"/>
              <w:left w:val="single" w:color="auto" w:sz="4" w:space="0"/>
              <w:bottom w:val="single" w:color="auto" w:sz="4" w:space="0"/>
              <w:right w:val="single" w:color="auto" w:sz="4" w:space="0"/>
            </w:tcBorders>
            <w:shd w:val="clear" w:color="auto" w:fill="auto"/>
            <w:noWrap/>
            <w:vAlign w:val="center"/>
          </w:tcPr>
          <w:p w14:paraId="6D5BA88C">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single" w:color="auto" w:sz="4" w:space="0"/>
              <w:bottom w:val="single" w:color="auto" w:sz="4" w:space="0"/>
              <w:right w:val="single" w:color="000000" w:sz="8" w:space="0"/>
            </w:tcBorders>
            <w:shd w:val="clear" w:color="auto" w:fill="auto"/>
            <w:noWrap/>
            <w:vAlign w:val="center"/>
          </w:tcPr>
          <w:p w14:paraId="1BEBBDB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single" w:color="auto" w:sz="4" w:space="0"/>
              <w:right w:val="single" w:color="auto" w:sz="4" w:space="0"/>
            </w:tcBorders>
            <w:shd w:val="clear" w:color="auto" w:fill="auto"/>
            <w:vAlign w:val="center"/>
          </w:tcPr>
          <w:p w14:paraId="33B4DDF6">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含PDU</w:t>
            </w:r>
          </w:p>
        </w:tc>
        <w:tc>
          <w:tcPr>
            <w:tcW w:w="927" w:type="dxa"/>
            <w:vMerge w:val="continue"/>
            <w:tcBorders>
              <w:top w:val="nil"/>
              <w:left w:val="single" w:color="auto" w:sz="4" w:space="0"/>
              <w:bottom w:val="single" w:color="auto" w:sz="4" w:space="0"/>
              <w:right w:val="single" w:color="000000" w:sz="8" w:space="0"/>
            </w:tcBorders>
            <w:shd w:val="clear" w:color="auto" w:fill="auto"/>
            <w:vAlign w:val="center"/>
          </w:tcPr>
          <w:p w14:paraId="65C9C579">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858" w:type="dxa"/>
            <w:vMerge w:val="continue"/>
            <w:tcBorders>
              <w:top w:val="nil"/>
              <w:left w:val="nil"/>
              <w:bottom w:val="single" w:color="auto" w:sz="4" w:space="0"/>
              <w:right w:val="single" w:color="auto" w:sz="4" w:space="0"/>
            </w:tcBorders>
            <w:shd w:val="clear" w:color="auto" w:fill="auto"/>
            <w:vAlign w:val="center"/>
          </w:tcPr>
          <w:p w14:paraId="5723A84B">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733CF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0" w:type="auto"/>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8AA8128">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w:t>
            </w:r>
          </w:p>
        </w:tc>
        <w:tc>
          <w:tcPr>
            <w:tcW w:w="18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6FC7C67">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智能分组轮灌水肥一体化灌溉机</w:t>
            </w:r>
          </w:p>
        </w:tc>
        <w:tc>
          <w:tcPr>
            <w:tcW w:w="5033" w:type="dxa"/>
            <w:tcBorders>
              <w:top w:val="single" w:color="auto" w:sz="4" w:space="0"/>
              <w:left w:val="single" w:color="auto" w:sz="4" w:space="0"/>
              <w:bottom w:val="single" w:color="auto" w:sz="4" w:space="0"/>
              <w:right w:val="single" w:color="auto" w:sz="4" w:space="0"/>
            </w:tcBorders>
            <w:shd w:val="clear" w:color="auto" w:fill="auto"/>
            <w:vAlign w:val="center"/>
          </w:tcPr>
          <w:p w14:paraId="69E3B05B">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需要恒压变频。①灌溉水泵+施肥机+田间阀门融合联控，智能分组轮灌和施肥，可节省大量灌溉人工，实现更好的灌溉和施肥效果，保障增产增收：</w:t>
            </w: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2F42202">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w:t>
            </w: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6EE2CD87">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套</w:t>
            </w:r>
          </w:p>
        </w:tc>
      </w:tr>
      <w:tr w14:paraId="2CF02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jc w:val="center"/>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EC3728B">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E408776">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single" w:color="auto" w:sz="4" w:space="0"/>
              <w:bottom w:val="single" w:color="auto" w:sz="4" w:space="0"/>
              <w:right w:val="single" w:color="auto" w:sz="4" w:space="0"/>
            </w:tcBorders>
            <w:shd w:val="clear" w:color="auto" w:fill="auto"/>
            <w:vAlign w:val="center"/>
          </w:tcPr>
          <w:p w14:paraId="0EA98A40">
            <w:pPr>
              <w:keepNext w:val="0"/>
              <w:keepLines w:val="0"/>
              <w:widowControl/>
              <w:suppressLineNumbers w:val="0"/>
              <w:jc w:val="left"/>
              <w:textAlignment w:val="center"/>
              <w:rPr>
                <w:rFonts w:ascii="黑体" w:hAnsi="宋体" w:eastAsia="黑体" w:cs="黑体"/>
                <w:b/>
                <w:bCs/>
                <w:i w:val="0"/>
                <w:iCs w:val="0"/>
                <w:color w:val="000000" w:themeColor="text1"/>
                <w:sz w:val="18"/>
                <w:szCs w:val="18"/>
                <w:u w:val="none"/>
                <w14:textFill>
                  <w14:solidFill>
                    <w14:schemeClr w14:val="tx1"/>
                  </w14:solidFill>
                </w14:textFill>
              </w:rPr>
            </w:pPr>
            <w:r>
              <w:rPr>
                <w:rStyle w:val="40"/>
                <w:color w:val="000000" w:themeColor="text1"/>
                <w:lang w:val="en-US" w:eastAsia="zh-CN" w:bidi="ar"/>
                <w14:textFill>
                  <w14:solidFill>
                    <w14:schemeClr w14:val="tx1"/>
                  </w14:solidFill>
                </w14:textFill>
              </w:rPr>
              <w:t>＊</w:t>
            </w:r>
            <w:r>
              <w:rPr>
                <w:rStyle w:val="38"/>
                <w:color w:val="000000" w:themeColor="text1"/>
                <w:lang w:val="en-US" w:eastAsia="zh-CN" w:bidi="ar"/>
                <w14:textFill>
                  <w14:solidFill>
                    <w14:schemeClr w14:val="tx1"/>
                  </w14:solidFill>
                </w14:textFill>
              </w:rPr>
              <w:t>②支持无编码组网，自助绑定阀门，分组与命名，安装调试和应用不再依赖厂家技术支持，确保可自主灵活设置分组轮灌和施肥策略；</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D66F8B6">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2997419">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58F35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jc w:val="center"/>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39C922E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51F92E9">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single" w:color="auto" w:sz="4" w:space="0"/>
              <w:bottom w:val="single" w:color="auto" w:sz="4" w:space="0"/>
              <w:right w:val="single" w:color="auto" w:sz="4" w:space="0"/>
            </w:tcBorders>
            <w:shd w:val="clear" w:color="auto" w:fill="auto"/>
            <w:vAlign w:val="center"/>
          </w:tcPr>
          <w:p w14:paraId="4DBB9776">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③智能分组轮灌+施肥支持断电、电压低等异常停泵后，恢复正常，可自动接续执行未完任务：</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5683D52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0D3035C">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3B3FB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jc w:val="center"/>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18D214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9A363D2">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single" w:color="auto" w:sz="4" w:space="0"/>
              <w:bottom w:val="single" w:color="auto" w:sz="4" w:space="0"/>
              <w:right w:val="single" w:color="auto" w:sz="4" w:space="0"/>
            </w:tcBorders>
            <w:shd w:val="clear" w:color="auto" w:fill="auto"/>
            <w:vAlign w:val="center"/>
          </w:tcPr>
          <w:p w14:paraId="15368A61">
            <w:pPr>
              <w:keepNext w:val="0"/>
              <w:keepLines w:val="0"/>
              <w:widowControl/>
              <w:suppressLineNumbers w:val="0"/>
              <w:jc w:val="left"/>
              <w:textAlignment w:val="center"/>
              <w:rPr>
                <w:rFonts w:hint="eastAsia" w:ascii="黑体" w:hAnsi="宋体" w:eastAsia="黑体" w:cs="黑体"/>
                <w:b/>
                <w:bCs/>
                <w:i w:val="0"/>
                <w:iCs w:val="0"/>
                <w:color w:val="000000" w:themeColor="text1"/>
                <w:sz w:val="18"/>
                <w:szCs w:val="18"/>
                <w:u w:val="none"/>
                <w14:textFill>
                  <w14:solidFill>
                    <w14:schemeClr w14:val="tx1"/>
                  </w14:solidFill>
                </w14:textFill>
              </w:rPr>
            </w:pPr>
            <w:r>
              <w:rPr>
                <w:rStyle w:val="40"/>
                <w:color w:val="000000" w:themeColor="text1"/>
                <w:lang w:val="en-US" w:eastAsia="zh-CN" w:bidi="ar"/>
                <w14:textFill>
                  <w14:solidFill>
                    <w14:schemeClr w14:val="tx1"/>
                  </w14:solidFill>
                </w14:textFill>
              </w:rPr>
              <w:t>＊</w:t>
            </w:r>
            <w:r>
              <w:rPr>
                <w:rStyle w:val="38"/>
                <w:color w:val="000000" w:themeColor="text1"/>
                <w:lang w:val="en-US" w:eastAsia="zh-CN" w:bidi="ar"/>
                <w14:textFill>
                  <w14:solidFill>
                    <w14:schemeClr w14:val="tx1"/>
                  </w14:solidFill>
                </w14:textFill>
              </w:rPr>
              <w:t>④基于微信平台应用，无需下载APP,无需培训，用户即可熟练掌握，简单便携：</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E7430BF">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7E2CB56">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2F7C0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C0D24ED">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71A36C9">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single" w:color="auto" w:sz="4" w:space="0"/>
              <w:bottom w:val="single" w:color="auto" w:sz="4" w:space="0"/>
              <w:right w:val="single" w:color="auto" w:sz="4" w:space="0"/>
            </w:tcBorders>
            <w:shd w:val="clear" w:color="auto" w:fill="auto"/>
            <w:vAlign w:val="center"/>
          </w:tcPr>
          <w:p w14:paraId="3F639B93">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⑤云智能SaaS平台由腾讯云提供计算、存储、带宽等运行环境，安全可靠；</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3433BB8D">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8707F6D">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50F9B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DB07169">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59C4A2C">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single" w:color="auto" w:sz="4" w:space="0"/>
              <w:bottom w:val="single" w:color="auto" w:sz="4" w:space="0"/>
              <w:right w:val="single" w:color="auto" w:sz="4" w:space="0"/>
            </w:tcBorders>
            <w:shd w:val="clear" w:color="auto" w:fill="auto"/>
            <w:vAlign w:val="center"/>
          </w:tcPr>
          <w:p w14:paraId="01219B4B">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⑥经邀请认证的多个管控用户，可相互了解和监督灌溉任务执行情况：</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3432D28">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E539123">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06092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5" w:hRule="atLeast"/>
          <w:jc w:val="center"/>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2181542">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54DAB9">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single" w:color="auto" w:sz="4" w:space="0"/>
              <w:bottom w:val="single" w:color="auto" w:sz="4" w:space="0"/>
              <w:right w:val="single" w:color="auto" w:sz="4" w:space="0"/>
            </w:tcBorders>
            <w:shd w:val="clear" w:color="auto" w:fill="auto"/>
            <w:vAlign w:val="center"/>
          </w:tcPr>
          <w:p w14:paraId="3644A187">
            <w:pPr>
              <w:keepNext w:val="0"/>
              <w:keepLines w:val="0"/>
              <w:widowControl/>
              <w:suppressLineNumbers w:val="0"/>
              <w:jc w:val="left"/>
              <w:textAlignment w:val="center"/>
              <w:rPr>
                <w:rStyle w:val="40"/>
                <w:color w:val="000000" w:themeColor="text1"/>
                <w:lang w:val="en-US" w:eastAsia="zh-CN" w:bidi="ar"/>
                <w14:textFill>
                  <w14:solidFill>
                    <w14:schemeClr w14:val="tx1"/>
                  </w14:solidFill>
                </w14:textFill>
              </w:rPr>
            </w:pPr>
            <w:r>
              <w:rPr>
                <w:rStyle w:val="40"/>
                <w:color w:val="000000" w:themeColor="text1"/>
                <w:lang w:val="en-US" w:eastAsia="zh-CN" w:bidi="ar"/>
                <w14:textFill>
                  <w14:solidFill>
                    <w14:schemeClr w14:val="tx1"/>
                  </w14:solidFill>
                </w14:textFill>
              </w:rPr>
              <w:t>＊</w:t>
            </w:r>
            <w:r>
              <w:rPr>
                <w:rStyle w:val="38"/>
                <w:color w:val="000000" w:themeColor="text1"/>
                <w:lang w:val="en-US" w:eastAsia="zh-CN" w:bidi="ar"/>
                <w14:textFill>
                  <w14:solidFill>
                    <w14:schemeClr w14:val="tx1"/>
                  </w14:solidFill>
                </w14:textFill>
              </w:rPr>
              <w:t>⑦手机远控、人工智能、现场操控无感切换，本地操控响应≤500ms;传感器驱动</w:t>
            </w:r>
          </w:p>
          <w:p w14:paraId="718C162D">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响应≤120s:</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464755B">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67B52B2">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0EED9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23EB952">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C90A2C0">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single" w:color="auto" w:sz="4" w:space="0"/>
              <w:bottom w:val="single" w:color="auto" w:sz="4" w:space="0"/>
              <w:right w:val="single" w:color="auto" w:sz="4" w:space="0"/>
            </w:tcBorders>
            <w:shd w:val="clear" w:color="auto" w:fill="auto"/>
            <w:vAlign w:val="center"/>
          </w:tcPr>
          <w:p w14:paraId="59FB7C19">
            <w:pPr>
              <w:keepNext w:val="0"/>
              <w:keepLines w:val="0"/>
              <w:widowControl/>
              <w:suppressLineNumbers w:val="0"/>
              <w:jc w:val="left"/>
              <w:textAlignment w:val="center"/>
              <w:rPr>
                <w:rFonts w:hint="eastAsia" w:ascii="黑体" w:hAnsi="宋体" w:eastAsia="黑体" w:cs="黑体"/>
                <w:b/>
                <w:bCs/>
                <w:i w:val="0"/>
                <w:iCs w:val="0"/>
                <w:color w:val="000000" w:themeColor="text1"/>
                <w:sz w:val="18"/>
                <w:szCs w:val="18"/>
                <w:u w:val="none"/>
                <w14:textFill>
                  <w14:solidFill>
                    <w14:schemeClr w14:val="tx1"/>
                  </w14:solidFill>
                </w14:textFill>
              </w:rPr>
            </w:pPr>
            <w:r>
              <w:rPr>
                <w:rStyle w:val="40"/>
                <w:color w:val="000000" w:themeColor="text1"/>
                <w:lang w:val="en-US" w:eastAsia="zh-CN" w:bidi="ar"/>
                <w14:textFill>
                  <w14:solidFill>
                    <w14:schemeClr w14:val="tx1"/>
                  </w14:solidFill>
                </w14:textFill>
              </w:rPr>
              <w:t>＊</w:t>
            </w:r>
            <w:r>
              <w:rPr>
                <w:rStyle w:val="38"/>
                <w:color w:val="000000" w:themeColor="text1"/>
                <w:lang w:val="en-US" w:eastAsia="zh-CN" w:bidi="ar"/>
                <w14:textFill>
                  <w14:solidFill>
                    <w14:schemeClr w14:val="tx1"/>
                  </w14:solidFill>
                </w14:textFill>
              </w:rPr>
              <w:t>⑧支持扩展综合水价改革相关的流转与非流转农田灌溉收水费功能：</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3EBBD915">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CA5ED74">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78656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jc w:val="center"/>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591DE08">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3B54DDA">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single" w:color="auto" w:sz="4" w:space="0"/>
              <w:bottom w:val="single" w:color="auto" w:sz="4" w:space="0"/>
              <w:right w:val="single" w:color="auto" w:sz="4" w:space="0"/>
            </w:tcBorders>
            <w:shd w:val="clear" w:color="auto" w:fill="auto"/>
            <w:vAlign w:val="center"/>
          </w:tcPr>
          <w:p w14:paraId="1500660F">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⑨支持扩展过滤器、流量计、墙情仪、EC、PH等设备和传感器，数据异常，可及时推送相关人员报警消息。</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39168391">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09D873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5E9E2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D0BF62C">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649F045">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single" w:color="auto" w:sz="4" w:space="0"/>
              <w:bottom w:val="single" w:color="auto" w:sz="4" w:space="0"/>
              <w:right w:val="single" w:color="auto" w:sz="4" w:space="0"/>
            </w:tcBorders>
            <w:shd w:val="clear" w:color="auto" w:fill="auto"/>
            <w:vAlign w:val="center"/>
          </w:tcPr>
          <w:p w14:paraId="5EBCC08A">
            <w:pPr>
              <w:keepNext w:val="0"/>
              <w:keepLines w:val="0"/>
              <w:widowControl/>
              <w:suppressLineNumbers w:val="0"/>
              <w:jc w:val="left"/>
              <w:textAlignment w:val="center"/>
              <w:rPr>
                <w:rFonts w:hint="eastAsia" w:ascii="黑体" w:hAnsi="宋体" w:eastAsia="黑体" w:cs="黑体"/>
                <w:b/>
                <w:bCs/>
                <w:i w:val="0"/>
                <w:iCs w:val="0"/>
                <w:color w:val="000000" w:themeColor="text1"/>
                <w:sz w:val="18"/>
                <w:szCs w:val="18"/>
                <w:u w:val="none"/>
                <w14:textFill>
                  <w14:solidFill>
                    <w14:schemeClr w14:val="tx1"/>
                  </w14:solidFill>
                </w14:textFill>
              </w:rPr>
            </w:pPr>
            <w:r>
              <w:rPr>
                <w:rStyle w:val="40"/>
                <w:color w:val="000000" w:themeColor="text1"/>
                <w:lang w:val="en-US" w:eastAsia="zh-CN" w:bidi="ar"/>
                <w14:textFill>
                  <w14:solidFill>
                    <w14:schemeClr w14:val="tx1"/>
                  </w14:solidFill>
                </w14:textFill>
              </w:rPr>
              <w:t>＊</w:t>
            </w:r>
            <w:r>
              <w:rPr>
                <w:rStyle w:val="38"/>
                <w:color w:val="000000" w:themeColor="text1"/>
                <w:lang w:val="en-US" w:eastAsia="zh-CN" w:bidi="ar"/>
                <w14:textFill>
                  <w14:solidFill>
                    <w14:schemeClr w14:val="tx1"/>
                  </w14:solidFill>
                </w14:textFill>
              </w:rPr>
              <w:t>附件：小阵雨阀控器可控2个灌溉阀-1路ES485+1ora通信+光伏供电+爆闪灯</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33AAACED">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22D8EA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20753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353B3B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3147839">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single" w:color="auto" w:sz="4" w:space="0"/>
              <w:bottom w:val="single" w:color="auto" w:sz="4" w:space="0"/>
              <w:right w:val="single" w:color="auto" w:sz="4" w:space="0"/>
            </w:tcBorders>
            <w:shd w:val="clear" w:color="auto" w:fill="auto"/>
            <w:vAlign w:val="center"/>
          </w:tcPr>
          <w:p w14:paraId="41B3DD8B">
            <w:pPr>
              <w:keepNext w:val="0"/>
              <w:keepLines w:val="0"/>
              <w:widowControl/>
              <w:suppressLineNumbers w:val="0"/>
              <w:jc w:val="left"/>
              <w:textAlignment w:val="center"/>
              <w:rPr>
                <w:rFonts w:hint="eastAsia" w:ascii="黑体" w:hAnsi="宋体" w:eastAsia="黑体" w:cs="黑体"/>
                <w:b/>
                <w:bCs/>
                <w:i w:val="0"/>
                <w:iCs w:val="0"/>
                <w:color w:val="000000" w:themeColor="text1"/>
                <w:sz w:val="18"/>
                <w:szCs w:val="18"/>
                <w:u w:val="none"/>
                <w14:textFill>
                  <w14:solidFill>
                    <w14:schemeClr w14:val="tx1"/>
                  </w14:solidFill>
                </w14:textFill>
              </w:rPr>
            </w:pPr>
            <w:r>
              <w:rPr>
                <w:rStyle w:val="40"/>
                <w:color w:val="000000" w:themeColor="text1"/>
                <w:lang w:val="en-US" w:eastAsia="zh-CN" w:bidi="ar"/>
                <w14:textFill>
                  <w14:solidFill>
                    <w14:schemeClr w14:val="tx1"/>
                  </w14:solidFill>
                </w14:textFill>
              </w:rPr>
              <w:t>＊</w:t>
            </w:r>
            <w:r>
              <w:rPr>
                <w:rStyle w:val="38"/>
                <w:color w:val="000000" w:themeColor="text1"/>
                <w:lang w:val="en-US" w:eastAsia="zh-CN" w:bidi="ar"/>
                <w14:textFill>
                  <w14:solidFill>
                    <w14:schemeClr w14:val="tx1"/>
                  </w14:solidFill>
                </w14:textFill>
              </w:rPr>
              <w:t>智能稳压灌溉阀柱塞式、自动稳压、消洗3V微功耗驱动|带状态反馈</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3EEE1C4">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5CE8CC8">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1916A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086AA82">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D7A664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single" w:color="auto" w:sz="4" w:space="0"/>
              <w:bottom w:val="single" w:color="auto" w:sz="4" w:space="0"/>
              <w:right w:val="single" w:color="auto" w:sz="4" w:space="0"/>
            </w:tcBorders>
            <w:shd w:val="clear" w:color="auto" w:fill="auto"/>
            <w:vAlign w:val="center"/>
          </w:tcPr>
          <w:p w14:paraId="4A4BEA04">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灌溉阀、三通灌溉阀配件</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5911BF0A">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BAA6C6A">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306A4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D11EFB6">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ABB73A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single" w:color="auto" w:sz="4" w:space="0"/>
              <w:bottom w:val="single" w:color="auto" w:sz="4" w:space="0"/>
              <w:right w:val="single" w:color="auto" w:sz="4" w:space="0"/>
            </w:tcBorders>
            <w:shd w:val="clear" w:color="auto" w:fill="auto"/>
            <w:vAlign w:val="center"/>
          </w:tcPr>
          <w:p w14:paraId="1A51E0FC">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水压传感器0-6Mpa|4-20mA|M20*1.5</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312228A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1451FFC">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632CC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0" w:type="auto"/>
            <w:vMerge w:val="continue"/>
            <w:tcBorders>
              <w:top w:val="single" w:color="auto" w:sz="4" w:space="0"/>
              <w:left w:val="single" w:color="auto" w:sz="4" w:space="0"/>
              <w:bottom w:val="single" w:color="000000" w:sz="8" w:space="0"/>
              <w:right w:val="single" w:color="auto" w:sz="4" w:space="0"/>
            </w:tcBorders>
            <w:shd w:val="clear" w:color="auto" w:fill="auto"/>
            <w:noWrap/>
            <w:vAlign w:val="center"/>
          </w:tcPr>
          <w:p w14:paraId="74BA4E65">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single" w:color="auto" w:sz="4" w:space="0"/>
              <w:left w:val="single" w:color="auto" w:sz="4" w:space="0"/>
              <w:bottom w:val="single" w:color="000000" w:sz="8" w:space="0"/>
              <w:right w:val="single" w:color="000000" w:sz="8" w:space="0"/>
            </w:tcBorders>
            <w:shd w:val="clear" w:color="auto" w:fill="auto"/>
            <w:vAlign w:val="center"/>
          </w:tcPr>
          <w:p w14:paraId="754928CA">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single" w:color="auto" w:sz="4" w:space="0"/>
              <w:left w:val="nil"/>
              <w:bottom w:val="single" w:color="000000" w:sz="8" w:space="0"/>
              <w:right w:val="single" w:color="auto" w:sz="4" w:space="0"/>
            </w:tcBorders>
            <w:shd w:val="clear" w:color="auto" w:fill="auto"/>
            <w:vAlign w:val="top"/>
          </w:tcPr>
          <w:p w14:paraId="7AE2743F">
            <w:pPr>
              <w:keepNext w:val="0"/>
              <w:keepLines w:val="0"/>
              <w:widowControl/>
              <w:suppressLineNumbers w:val="0"/>
              <w:jc w:val="left"/>
              <w:textAlignment w:val="top"/>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泵控+网关泵控天线3段支架非标定制|30*30mm镀锌方管|激光切割组装件</w:t>
            </w:r>
          </w:p>
        </w:tc>
        <w:tc>
          <w:tcPr>
            <w:tcW w:w="0" w:type="auto"/>
            <w:vMerge w:val="continue"/>
            <w:tcBorders>
              <w:top w:val="single" w:color="auto" w:sz="4" w:space="0"/>
              <w:left w:val="single" w:color="auto" w:sz="4" w:space="0"/>
              <w:bottom w:val="single" w:color="000000" w:sz="8" w:space="0"/>
              <w:right w:val="single" w:color="000000" w:sz="8" w:space="0"/>
            </w:tcBorders>
            <w:shd w:val="clear" w:color="auto" w:fill="auto"/>
            <w:noWrap/>
            <w:vAlign w:val="center"/>
          </w:tcPr>
          <w:p w14:paraId="0C0BD9F7">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single" w:color="auto" w:sz="4" w:space="0"/>
              <w:left w:val="nil"/>
              <w:bottom w:val="single" w:color="000000" w:sz="8" w:space="0"/>
              <w:right w:val="single" w:color="auto" w:sz="4" w:space="0"/>
            </w:tcBorders>
            <w:shd w:val="clear" w:color="auto" w:fill="auto"/>
            <w:noWrap/>
            <w:vAlign w:val="center"/>
          </w:tcPr>
          <w:p w14:paraId="090588AA">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368CC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jc w:val="center"/>
        </w:trPr>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32AD19D8">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nil"/>
              <w:left w:val="single" w:color="auto" w:sz="4" w:space="0"/>
              <w:bottom w:val="single" w:color="000000" w:sz="8" w:space="0"/>
              <w:right w:val="single" w:color="000000" w:sz="8" w:space="0"/>
            </w:tcBorders>
            <w:shd w:val="clear" w:color="auto" w:fill="auto"/>
            <w:vAlign w:val="center"/>
          </w:tcPr>
          <w:p w14:paraId="5BE1ED06">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single" w:color="000000" w:sz="8" w:space="0"/>
              <w:right w:val="single" w:color="auto" w:sz="4" w:space="0"/>
            </w:tcBorders>
            <w:shd w:val="clear" w:color="auto" w:fill="auto"/>
            <w:vAlign w:val="center"/>
          </w:tcPr>
          <w:p w14:paraId="748A36DE">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泵控天线3段支架非标定制40/32/20镀锌3段圆管3.5米|激光切割组装件</w:t>
            </w:r>
          </w:p>
        </w:tc>
        <w:tc>
          <w:tcPr>
            <w:tcW w:w="0" w:type="auto"/>
            <w:vMerge w:val="continue"/>
            <w:tcBorders>
              <w:top w:val="nil"/>
              <w:left w:val="single" w:color="auto" w:sz="4" w:space="0"/>
              <w:bottom w:val="single" w:color="000000" w:sz="8" w:space="0"/>
              <w:right w:val="single" w:color="000000" w:sz="8" w:space="0"/>
            </w:tcBorders>
            <w:shd w:val="clear" w:color="auto" w:fill="auto"/>
            <w:noWrap/>
            <w:vAlign w:val="center"/>
          </w:tcPr>
          <w:p w14:paraId="06C52009">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auto" w:sz="4" w:space="0"/>
            </w:tcBorders>
            <w:shd w:val="clear" w:color="auto" w:fill="auto"/>
            <w:noWrap/>
            <w:vAlign w:val="center"/>
          </w:tcPr>
          <w:p w14:paraId="5A6EB626">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1E3FC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3DCD3512">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nil"/>
              <w:left w:val="single" w:color="auto" w:sz="4" w:space="0"/>
              <w:bottom w:val="single" w:color="000000" w:sz="8" w:space="0"/>
              <w:right w:val="single" w:color="000000" w:sz="8" w:space="0"/>
            </w:tcBorders>
            <w:shd w:val="clear" w:color="auto" w:fill="auto"/>
            <w:vAlign w:val="center"/>
          </w:tcPr>
          <w:p w14:paraId="5BC7F27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single" w:color="000000" w:sz="8" w:space="0"/>
              <w:right w:val="single" w:color="auto" w:sz="4" w:space="0"/>
            </w:tcBorders>
            <w:shd w:val="clear" w:color="auto" w:fill="auto"/>
            <w:vAlign w:val="center"/>
          </w:tcPr>
          <w:p w14:paraId="420306A8">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适用功率≤37KW水泵-恒压变频+水压传感器|支持智能施肥</w:t>
            </w:r>
          </w:p>
        </w:tc>
        <w:tc>
          <w:tcPr>
            <w:tcW w:w="0" w:type="auto"/>
            <w:vMerge w:val="continue"/>
            <w:tcBorders>
              <w:top w:val="nil"/>
              <w:left w:val="single" w:color="auto" w:sz="4" w:space="0"/>
              <w:bottom w:val="single" w:color="000000" w:sz="8" w:space="0"/>
              <w:right w:val="single" w:color="000000" w:sz="8" w:space="0"/>
            </w:tcBorders>
            <w:shd w:val="clear" w:color="auto" w:fill="auto"/>
            <w:noWrap/>
            <w:vAlign w:val="center"/>
          </w:tcPr>
          <w:p w14:paraId="57609BFF">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auto" w:sz="4" w:space="0"/>
            </w:tcBorders>
            <w:shd w:val="clear" w:color="auto" w:fill="auto"/>
            <w:noWrap/>
            <w:vAlign w:val="center"/>
          </w:tcPr>
          <w:p w14:paraId="276842E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4C8D3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vMerge w:val="continue"/>
            <w:tcBorders>
              <w:top w:val="nil"/>
              <w:left w:val="single" w:color="auto" w:sz="4" w:space="0"/>
              <w:bottom w:val="single" w:color="000000" w:sz="8" w:space="0"/>
              <w:right w:val="single" w:color="auto" w:sz="4" w:space="0"/>
            </w:tcBorders>
            <w:shd w:val="clear" w:color="auto" w:fill="auto"/>
            <w:noWrap/>
            <w:vAlign w:val="center"/>
          </w:tcPr>
          <w:p w14:paraId="77F8CAFA">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nil"/>
              <w:left w:val="single" w:color="auto" w:sz="4" w:space="0"/>
              <w:bottom w:val="single" w:color="000000" w:sz="8" w:space="0"/>
              <w:right w:val="single" w:color="000000" w:sz="8" w:space="0"/>
            </w:tcBorders>
            <w:shd w:val="clear" w:color="auto" w:fill="auto"/>
            <w:vAlign w:val="center"/>
          </w:tcPr>
          <w:p w14:paraId="0077FB63">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single" w:color="000000" w:sz="8" w:space="0"/>
              <w:right w:val="single" w:color="auto" w:sz="4" w:space="0"/>
            </w:tcBorders>
            <w:shd w:val="clear" w:color="auto" w:fill="auto"/>
            <w:vAlign w:val="center"/>
          </w:tcPr>
          <w:p w14:paraId="3AE0D6EA">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注肥机</w:t>
            </w:r>
          </w:p>
        </w:tc>
        <w:tc>
          <w:tcPr>
            <w:tcW w:w="0" w:type="auto"/>
            <w:vMerge w:val="continue"/>
            <w:tcBorders>
              <w:top w:val="nil"/>
              <w:left w:val="single" w:color="auto" w:sz="4" w:space="0"/>
              <w:bottom w:val="single" w:color="000000" w:sz="8" w:space="0"/>
              <w:right w:val="single" w:color="000000" w:sz="8" w:space="0"/>
            </w:tcBorders>
            <w:shd w:val="clear" w:color="auto" w:fill="auto"/>
            <w:noWrap/>
            <w:vAlign w:val="center"/>
          </w:tcPr>
          <w:p w14:paraId="3C3A96E5">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auto" w:sz="4" w:space="0"/>
            </w:tcBorders>
            <w:shd w:val="clear" w:color="auto" w:fill="auto"/>
            <w:noWrap/>
            <w:vAlign w:val="center"/>
          </w:tcPr>
          <w:p w14:paraId="3767C5D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14:paraId="46391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0" w:type="auto"/>
            <w:vMerge w:val="continue"/>
            <w:tcBorders>
              <w:top w:val="nil"/>
              <w:left w:val="single" w:color="auto" w:sz="4" w:space="0"/>
              <w:bottom w:val="single" w:color="auto" w:sz="4" w:space="0"/>
              <w:right w:val="single" w:color="auto" w:sz="4" w:space="0"/>
            </w:tcBorders>
            <w:shd w:val="clear" w:color="auto" w:fill="auto"/>
            <w:noWrap/>
            <w:vAlign w:val="center"/>
          </w:tcPr>
          <w:p w14:paraId="6C6D44D8">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841" w:type="dxa"/>
            <w:vMerge w:val="continue"/>
            <w:tcBorders>
              <w:top w:val="nil"/>
              <w:left w:val="single" w:color="auto" w:sz="4" w:space="0"/>
              <w:bottom w:val="single" w:color="auto" w:sz="4" w:space="0"/>
              <w:right w:val="single" w:color="000000" w:sz="8" w:space="0"/>
            </w:tcBorders>
            <w:shd w:val="clear" w:color="auto" w:fill="auto"/>
            <w:vAlign w:val="center"/>
          </w:tcPr>
          <w:p w14:paraId="0A70EF9E">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033" w:type="dxa"/>
            <w:tcBorders>
              <w:top w:val="nil"/>
              <w:left w:val="nil"/>
              <w:bottom w:val="single" w:color="auto" w:sz="4" w:space="0"/>
              <w:right w:val="single" w:color="auto" w:sz="4" w:space="0"/>
            </w:tcBorders>
            <w:shd w:val="clear" w:color="auto" w:fill="auto"/>
            <w:vAlign w:val="center"/>
          </w:tcPr>
          <w:p w14:paraId="7BE4E4F2">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阀控立杆非标定制|激光切割组装件|入地0.5米，出地1米</w:t>
            </w:r>
          </w:p>
        </w:tc>
        <w:tc>
          <w:tcPr>
            <w:tcW w:w="0" w:type="auto"/>
            <w:vMerge w:val="continue"/>
            <w:tcBorders>
              <w:top w:val="nil"/>
              <w:left w:val="single" w:color="auto" w:sz="4" w:space="0"/>
              <w:bottom w:val="single" w:color="000000" w:sz="8" w:space="0"/>
              <w:right w:val="single" w:color="000000" w:sz="8" w:space="0"/>
            </w:tcBorders>
            <w:shd w:val="clear" w:color="auto" w:fill="auto"/>
            <w:noWrap/>
            <w:vAlign w:val="center"/>
          </w:tcPr>
          <w:p w14:paraId="17D05676">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0" w:type="auto"/>
            <w:vMerge w:val="continue"/>
            <w:tcBorders>
              <w:top w:val="nil"/>
              <w:left w:val="nil"/>
              <w:bottom w:val="single" w:color="000000" w:sz="8" w:space="0"/>
              <w:right w:val="single" w:color="auto" w:sz="4" w:space="0"/>
            </w:tcBorders>
            <w:shd w:val="clear" w:color="auto" w:fill="auto"/>
            <w:noWrap/>
            <w:vAlign w:val="center"/>
          </w:tcPr>
          <w:p w14:paraId="7ED38FAA">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bl>
    <w:p w14:paraId="0BBCCEAE">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571D6AFC">
      <w:pPr>
        <w:bidi w:val="0"/>
        <w:rPr>
          <w:rFonts w:hint="eastAsia"/>
          <w:color w:val="000000" w:themeColor="text1"/>
          <w14:textFill>
            <w14:solidFill>
              <w14:schemeClr w14:val="tx1"/>
            </w14:solidFill>
          </w14:textFill>
        </w:rPr>
      </w:pPr>
    </w:p>
    <w:p w14:paraId="37E09AD8">
      <w:pPr>
        <w:pStyle w:val="3"/>
        <w:bidi w:val="0"/>
        <w:rPr>
          <w:rFonts w:hint="eastAsia"/>
          <w:color w:val="000000" w:themeColor="text1"/>
          <w14:textFill>
            <w14:solidFill>
              <w14:schemeClr w14:val="tx1"/>
            </w14:solidFill>
          </w14:textFill>
        </w:rPr>
      </w:pPr>
      <w:bookmarkStart w:id="759" w:name="_Toc12576"/>
      <w:r>
        <w:rPr>
          <w:rFonts w:hint="eastAsia"/>
          <w:color w:val="000000" w:themeColor="text1"/>
          <w14:textFill>
            <w14:solidFill>
              <w14:schemeClr w14:val="tx1"/>
            </w14:solidFill>
          </w14:textFill>
        </w:rPr>
        <w:t xml:space="preserve">第五章 </w:t>
      </w:r>
      <w:bookmarkStart w:id="760" w:name="_Toc17566"/>
      <w:bookmarkStart w:id="761" w:name="_Toc32151"/>
      <w:bookmarkStart w:id="762" w:name="_Toc1243"/>
      <w:bookmarkStart w:id="763" w:name="_Toc7667"/>
      <w:bookmarkStart w:id="764" w:name="_Toc14405"/>
      <w:r>
        <w:rPr>
          <w:rFonts w:hint="eastAsia"/>
          <w:color w:val="000000" w:themeColor="text1"/>
          <w14:textFill>
            <w14:solidFill>
              <w14:schemeClr w14:val="tx1"/>
            </w14:solidFill>
          </w14:textFill>
        </w:rPr>
        <w:t>合同条款及格式</w:t>
      </w:r>
      <w:bookmarkEnd w:id="759"/>
      <w:bookmarkEnd w:id="760"/>
      <w:bookmarkEnd w:id="761"/>
      <w:bookmarkEnd w:id="762"/>
      <w:bookmarkEnd w:id="763"/>
      <w:bookmarkEnd w:id="764"/>
    </w:p>
    <w:p w14:paraId="75DB45B4">
      <w:pPr>
        <w:jc w:val="center"/>
        <w:rPr>
          <w:rFonts w:hint="eastAsia" w:ascii="宋体" w:hAnsi="宋体" w:eastAsia="宋体" w:cs="宋体"/>
          <w:color w:val="000000" w:themeColor="text1"/>
          <w:highlight w:val="none"/>
          <w14:textFill>
            <w14:solidFill>
              <w14:schemeClr w14:val="tx1"/>
            </w14:solidFill>
          </w14:textFill>
        </w:rPr>
      </w:pPr>
    </w:p>
    <w:p w14:paraId="5F5F3848">
      <w:pPr>
        <w:pStyle w:val="16"/>
        <w:spacing w:line="440" w:lineRule="exact"/>
        <w:jc w:val="both"/>
        <w:outlineLvl w:val="9"/>
        <w:rPr>
          <w:rFonts w:hint="eastAsia" w:ascii="宋体" w:hAnsi="宋体" w:eastAsia="宋体" w:cs="宋体"/>
          <w:color w:val="000000" w:themeColor="text1"/>
          <w:sz w:val="36"/>
          <w:szCs w:val="36"/>
          <w:highlight w:val="none"/>
          <w14:textFill>
            <w14:solidFill>
              <w14:schemeClr w14:val="tx1"/>
            </w14:solidFill>
          </w14:textFill>
        </w:rPr>
      </w:pPr>
    </w:p>
    <w:p w14:paraId="791D6BFC">
      <w:pPr>
        <w:spacing w:line="44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甲方（采购人）：</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                                      </w:t>
      </w:r>
    </w:p>
    <w:p w14:paraId="5CF515F0">
      <w:pPr>
        <w:spacing w:line="440" w:lineRule="exact"/>
        <w:ind w:right="-420" w:rightChars="-200"/>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乙方（中标人）：</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                                      </w:t>
      </w:r>
    </w:p>
    <w:p w14:paraId="2D82FAC6">
      <w:pPr>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根据《中华人民共和国民法典》等有关法律、法规、规章、部门及行业规定、标准等的规定，依据甲方要求并结合本项目具体情况，遵循平等、自愿、公平和诚实信用的原则，甲乙双方经友好协商，签订本合同。</w:t>
      </w:r>
      <w:bookmarkStart w:id="765" w:name="_Hlt504194631"/>
      <w:bookmarkEnd w:id="765"/>
      <w:bookmarkStart w:id="766" w:name="_Hlt504194270"/>
      <w:bookmarkEnd w:id="766"/>
      <w:bookmarkStart w:id="767" w:name="_Hlt503689602"/>
      <w:bookmarkEnd w:id="767"/>
    </w:p>
    <w:p w14:paraId="2BBD9FB8">
      <w:pPr>
        <w:snapToGrid w:val="0"/>
        <w:spacing w:line="460" w:lineRule="exact"/>
        <w:ind w:firstLine="422" w:firstLineChars="200"/>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第一条 项目概况</w:t>
      </w:r>
    </w:p>
    <w:p w14:paraId="27D70056">
      <w:pPr>
        <w:snapToGrid w:val="0"/>
        <w:spacing w:line="460" w:lineRule="exact"/>
        <w:ind w:firstLine="420" w:firstLineChars="20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5352D679">
      <w:pPr>
        <w:snapToGrid w:val="0"/>
        <w:spacing w:line="460" w:lineRule="exact"/>
        <w:ind w:firstLine="420" w:firstLineChars="20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项目地点：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1F56B1FD">
      <w:pPr>
        <w:snapToGrid w:val="0"/>
        <w:spacing w:line="460" w:lineRule="exact"/>
        <w:ind w:firstLine="422" w:firstLineChars="20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第二条 采购范围</w:t>
      </w:r>
    </w:p>
    <w:p w14:paraId="67DF2434">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乙方负责甲方所采购设备的</w:t>
      </w:r>
      <w:r>
        <w:rPr>
          <w:rFonts w:hint="eastAsia" w:ascii="宋体" w:hAnsi="宋体" w:eastAsia="宋体" w:cs="宋体"/>
          <w:color w:val="000000" w:themeColor="text1"/>
          <w:kern w:val="0"/>
          <w:sz w:val="21"/>
          <w:szCs w:val="21"/>
          <w:highlight w:val="none"/>
          <w14:textFill>
            <w14:solidFill>
              <w14:schemeClr w14:val="tx1"/>
            </w14:solidFill>
          </w14:textFill>
        </w:rPr>
        <w:t>供货、运输保险、安装调试、培训、验收、售后服务及其他相关伴随服务</w:t>
      </w:r>
      <w:r>
        <w:rPr>
          <w:rFonts w:hint="eastAsia" w:ascii="宋体" w:hAnsi="宋体" w:eastAsia="宋体" w:cs="宋体"/>
          <w:bCs/>
          <w:color w:val="000000" w:themeColor="text1"/>
          <w:sz w:val="21"/>
          <w:szCs w:val="21"/>
          <w:highlight w:val="none"/>
          <w14:textFill>
            <w14:solidFill>
              <w14:schemeClr w14:val="tx1"/>
            </w14:solidFill>
          </w14:textFill>
        </w:rPr>
        <w:t>。</w:t>
      </w:r>
    </w:p>
    <w:p w14:paraId="6864ECDF">
      <w:pPr>
        <w:spacing w:line="460" w:lineRule="exact"/>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第三条 采购设备清单</w:t>
      </w:r>
    </w:p>
    <w:tbl>
      <w:tblPr>
        <w:tblStyle w:val="18"/>
        <w:tblW w:w="95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890"/>
        <w:gridCol w:w="2504"/>
        <w:gridCol w:w="1350"/>
        <w:gridCol w:w="1484"/>
        <w:gridCol w:w="1464"/>
      </w:tblGrid>
      <w:tr w14:paraId="449AD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op w:val="single" w:color="auto" w:sz="4" w:space="0"/>
              <w:left w:val="single" w:color="auto" w:sz="4" w:space="0"/>
              <w:bottom w:val="single" w:color="auto" w:sz="4" w:space="0"/>
              <w:right w:val="single" w:color="auto" w:sz="4" w:space="0"/>
            </w:tcBorders>
            <w:noWrap w:val="0"/>
            <w:vAlign w:val="top"/>
          </w:tcPr>
          <w:p w14:paraId="1DC33746">
            <w:pPr>
              <w:spacing w:line="460" w:lineRule="exact"/>
              <w:jc w:val="center"/>
              <w:rPr>
                <w:rFonts w:hint="eastAsia" w:ascii="宋体" w:hAnsi="宋体" w:eastAsia="宋体" w:cs="宋体"/>
                <w:color w:val="000000" w:themeColor="text1"/>
                <w:sz w:val="21"/>
                <w:szCs w:val="21"/>
                <w:highlight w:val="none"/>
                <w14:textFill>
                  <w14:solidFill>
                    <w14:schemeClr w14:val="tx1"/>
                  </w14:solidFill>
                </w14:textFill>
              </w:rPr>
            </w:pPr>
            <w:bookmarkStart w:id="768" w:name="_Toc135648941"/>
            <w:r>
              <w:rPr>
                <w:rFonts w:hint="eastAsia" w:ascii="宋体" w:hAnsi="宋体" w:eastAsia="宋体" w:cs="宋体"/>
                <w:color w:val="000000" w:themeColor="text1"/>
                <w:sz w:val="21"/>
                <w:szCs w:val="21"/>
                <w:highlight w:val="none"/>
                <w14:textFill>
                  <w14:solidFill>
                    <w14:schemeClr w14:val="tx1"/>
                  </w14:solidFill>
                </w14:textFill>
              </w:rPr>
              <w:t>序号</w:t>
            </w:r>
          </w:p>
        </w:tc>
        <w:tc>
          <w:tcPr>
            <w:tcW w:w="1890" w:type="dxa"/>
            <w:tcBorders>
              <w:top w:val="single" w:color="auto" w:sz="4" w:space="0"/>
              <w:left w:val="nil"/>
              <w:bottom w:val="single" w:color="auto" w:sz="4" w:space="0"/>
              <w:right w:val="single" w:color="auto" w:sz="4" w:space="0"/>
            </w:tcBorders>
            <w:noWrap w:val="0"/>
            <w:vAlign w:val="top"/>
          </w:tcPr>
          <w:p w14:paraId="1D6E5A5F">
            <w:pPr>
              <w:spacing w:line="46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产品名称</w:t>
            </w:r>
          </w:p>
        </w:tc>
        <w:tc>
          <w:tcPr>
            <w:tcW w:w="2504" w:type="dxa"/>
            <w:tcBorders>
              <w:top w:val="single" w:color="auto" w:sz="4" w:space="0"/>
              <w:left w:val="nil"/>
              <w:bottom w:val="single" w:color="auto" w:sz="4" w:space="0"/>
              <w:right w:val="single" w:color="auto" w:sz="4" w:space="0"/>
            </w:tcBorders>
            <w:noWrap w:val="0"/>
            <w:vAlign w:val="top"/>
          </w:tcPr>
          <w:p w14:paraId="44A6E636">
            <w:pPr>
              <w:spacing w:line="46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9"/>
                <w:sz w:val="21"/>
                <w:szCs w:val="21"/>
                <w:highlight w:val="none"/>
                <w14:textFill>
                  <w14:solidFill>
                    <w14:schemeClr w14:val="tx1"/>
                  </w14:solidFill>
                </w14:textFill>
              </w:rPr>
              <w:t>品牌、型号规格</w:t>
            </w:r>
          </w:p>
        </w:tc>
        <w:tc>
          <w:tcPr>
            <w:tcW w:w="1350" w:type="dxa"/>
            <w:tcBorders>
              <w:top w:val="single" w:color="auto" w:sz="4" w:space="0"/>
              <w:left w:val="nil"/>
              <w:bottom w:val="single" w:color="auto" w:sz="4" w:space="0"/>
              <w:right w:val="single" w:color="auto" w:sz="4" w:space="0"/>
            </w:tcBorders>
            <w:noWrap w:val="0"/>
            <w:vAlign w:val="top"/>
          </w:tcPr>
          <w:p w14:paraId="62A60397">
            <w:pPr>
              <w:spacing w:line="46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数量</w:t>
            </w:r>
          </w:p>
        </w:tc>
        <w:tc>
          <w:tcPr>
            <w:tcW w:w="1484" w:type="dxa"/>
            <w:tcBorders>
              <w:top w:val="single" w:color="auto" w:sz="4" w:space="0"/>
              <w:left w:val="nil"/>
              <w:bottom w:val="single" w:color="auto" w:sz="4" w:space="0"/>
              <w:right w:val="single" w:color="auto" w:sz="4" w:space="0"/>
            </w:tcBorders>
            <w:noWrap w:val="0"/>
            <w:vAlign w:val="top"/>
          </w:tcPr>
          <w:p w14:paraId="4A14A67D">
            <w:pPr>
              <w:spacing w:line="46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单价</w:t>
            </w:r>
          </w:p>
        </w:tc>
        <w:tc>
          <w:tcPr>
            <w:tcW w:w="1464" w:type="dxa"/>
            <w:tcBorders>
              <w:top w:val="single" w:color="auto" w:sz="4" w:space="0"/>
              <w:left w:val="nil"/>
              <w:bottom w:val="single" w:color="auto" w:sz="4" w:space="0"/>
              <w:right w:val="single" w:color="auto" w:sz="4" w:space="0"/>
            </w:tcBorders>
            <w:noWrap w:val="0"/>
            <w:vAlign w:val="top"/>
          </w:tcPr>
          <w:p w14:paraId="346B7382">
            <w:pPr>
              <w:spacing w:line="46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合计</w:t>
            </w:r>
          </w:p>
        </w:tc>
      </w:tr>
      <w:tr w14:paraId="7D178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noWrap w:val="0"/>
            <w:vAlign w:val="center"/>
          </w:tcPr>
          <w:p w14:paraId="678820FD">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890" w:type="dxa"/>
            <w:tcBorders>
              <w:top w:val="single" w:color="auto" w:sz="4" w:space="0"/>
              <w:left w:val="nil"/>
              <w:bottom w:val="single" w:color="auto" w:sz="4" w:space="0"/>
              <w:right w:val="single" w:color="auto" w:sz="4" w:space="0"/>
            </w:tcBorders>
            <w:noWrap w:val="0"/>
            <w:vAlign w:val="center"/>
          </w:tcPr>
          <w:p w14:paraId="32379D08">
            <w:pPr>
              <w:rPr>
                <w:rFonts w:hint="eastAsia" w:ascii="宋体" w:hAnsi="宋体" w:eastAsia="宋体" w:cs="宋体"/>
                <w:color w:val="000000" w:themeColor="text1"/>
                <w:kern w:val="0"/>
                <w:sz w:val="21"/>
                <w:szCs w:val="21"/>
                <w:highlight w:val="none"/>
                <w14:textFill>
                  <w14:solidFill>
                    <w14:schemeClr w14:val="tx1"/>
                  </w14:solidFill>
                </w14:textFill>
              </w:rPr>
            </w:pPr>
          </w:p>
        </w:tc>
        <w:tc>
          <w:tcPr>
            <w:tcW w:w="2504" w:type="dxa"/>
            <w:tcBorders>
              <w:top w:val="single" w:color="auto" w:sz="4" w:space="0"/>
              <w:left w:val="nil"/>
              <w:bottom w:val="single" w:color="auto" w:sz="4" w:space="0"/>
              <w:right w:val="single" w:color="auto" w:sz="4" w:space="0"/>
            </w:tcBorders>
            <w:noWrap w:val="0"/>
            <w:vAlign w:val="center"/>
          </w:tcPr>
          <w:p w14:paraId="09745305">
            <w:pPr>
              <w:rPr>
                <w:rFonts w:hint="eastAsia" w:ascii="宋体" w:hAnsi="宋体" w:eastAsia="宋体" w:cs="宋体"/>
                <w:color w:val="000000" w:themeColor="text1"/>
                <w:kern w:val="0"/>
                <w:sz w:val="21"/>
                <w:szCs w:val="21"/>
                <w:highlight w:val="none"/>
                <w14:textFill>
                  <w14:solidFill>
                    <w14:schemeClr w14:val="tx1"/>
                  </w14:solidFill>
                </w14:textFill>
              </w:rPr>
            </w:pPr>
          </w:p>
        </w:tc>
        <w:tc>
          <w:tcPr>
            <w:tcW w:w="1350" w:type="dxa"/>
            <w:tcBorders>
              <w:top w:val="single" w:color="auto" w:sz="4" w:space="0"/>
              <w:left w:val="nil"/>
              <w:bottom w:val="single" w:color="auto" w:sz="4" w:space="0"/>
              <w:right w:val="single" w:color="auto" w:sz="4" w:space="0"/>
            </w:tcBorders>
            <w:noWrap w:val="0"/>
            <w:vAlign w:val="center"/>
          </w:tcPr>
          <w:p w14:paraId="5B921644">
            <w:pPr>
              <w:rPr>
                <w:rFonts w:hint="eastAsia" w:ascii="宋体" w:hAnsi="宋体" w:eastAsia="宋体" w:cs="宋体"/>
                <w:color w:val="000000" w:themeColor="text1"/>
                <w:kern w:val="0"/>
                <w:sz w:val="21"/>
                <w:szCs w:val="21"/>
                <w:highlight w:val="none"/>
                <w14:textFill>
                  <w14:solidFill>
                    <w14:schemeClr w14:val="tx1"/>
                  </w14:solidFill>
                </w14:textFill>
              </w:rPr>
            </w:pPr>
          </w:p>
        </w:tc>
        <w:tc>
          <w:tcPr>
            <w:tcW w:w="1484" w:type="dxa"/>
            <w:tcBorders>
              <w:top w:val="single" w:color="auto" w:sz="4" w:space="0"/>
              <w:left w:val="nil"/>
              <w:bottom w:val="single" w:color="auto" w:sz="4" w:space="0"/>
              <w:right w:val="single" w:color="auto" w:sz="4" w:space="0"/>
            </w:tcBorders>
            <w:noWrap w:val="0"/>
            <w:vAlign w:val="center"/>
          </w:tcPr>
          <w:p w14:paraId="7E843FF3">
            <w:pPr>
              <w:rPr>
                <w:rFonts w:hint="eastAsia" w:ascii="宋体" w:hAnsi="宋体" w:eastAsia="宋体" w:cs="宋体"/>
                <w:color w:val="000000" w:themeColor="text1"/>
                <w:kern w:val="0"/>
                <w:sz w:val="21"/>
                <w:szCs w:val="21"/>
                <w:highlight w:val="none"/>
                <w14:textFill>
                  <w14:solidFill>
                    <w14:schemeClr w14:val="tx1"/>
                  </w14:solidFill>
                </w14:textFill>
              </w:rPr>
            </w:pPr>
          </w:p>
        </w:tc>
        <w:tc>
          <w:tcPr>
            <w:tcW w:w="1464" w:type="dxa"/>
            <w:tcBorders>
              <w:top w:val="single" w:color="auto" w:sz="4" w:space="0"/>
              <w:left w:val="nil"/>
              <w:bottom w:val="single" w:color="auto" w:sz="4" w:space="0"/>
              <w:right w:val="single" w:color="auto" w:sz="4" w:space="0"/>
            </w:tcBorders>
            <w:noWrap w:val="0"/>
            <w:vAlign w:val="center"/>
          </w:tcPr>
          <w:p w14:paraId="384407C3">
            <w:pPr>
              <w:rPr>
                <w:rFonts w:hint="eastAsia" w:ascii="宋体" w:hAnsi="宋体" w:eastAsia="宋体" w:cs="宋体"/>
                <w:color w:val="000000" w:themeColor="text1"/>
                <w:kern w:val="0"/>
                <w:sz w:val="21"/>
                <w:szCs w:val="21"/>
                <w:highlight w:val="none"/>
                <w14:textFill>
                  <w14:solidFill>
                    <w14:schemeClr w14:val="tx1"/>
                  </w14:solidFill>
                </w14:textFill>
              </w:rPr>
            </w:pPr>
          </w:p>
        </w:tc>
      </w:tr>
      <w:tr w14:paraId="72D8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noWrap w:val="0"/>
            <w:vAlign w:val="center"/>
          </w:tcPr>
          <w:p w14:paraId="0B180874">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p>
        </w:tc>
        <w:tc>
          <w:tcPr>
            <w:tcW w:w="1890" w:type="dxa"/>
            <w:tcBorders>
              <w:top w:val="single" w:color="auto" w:sz="4" w:space="0"/>
              <w:left w:val="nil"/>
              <w:bottom w:val="single" w:color="auto" w:sz="4" w:space="0"/>
              <w:right w:val="single" w:color="auto" w:sz="4" w:space="0"/>
            </w:tcBorders>
            <w:noWrap w:val="0"/>
            <w:vAlign w:val="center"/>
          </w:tcPr>
          <w:p w14:paraId="44E60BB7">
            <w:pPr>
              <w:rPr>
                <w:rFonts w:hint="eastAsia" w:ascii="宋体" w:hAnsi="宋体" w:eastAsia="宋体" w:cs="宋体"/>
                <w:color w:val="000000" w:themeColor="text1"/>
                <w:kern w:val="0"/>
                <w:sz w:val="21"/>
                <w:szCs w:val="21"/>
                <w:highlight w:val="none"/>
                <w14:textFill>
                  <w14:solidFill>
                    <w14:schemeClr w14:val="tx1"/>
                  </w14:solidFill>
                </w14:textFill>
              </w:rPr>
            </w:pPr>
          </w:p>
        </w:tc>
        <w:tc>
          <w:tcPr>
            <w:tcW w:w="2504" w:type="dxa"/>
            <w:tcBorders>
              <w:top w:val="single" w:color="auto" w:sz="4" w:space="0"/>
              <w:left w:val="nil"/>
              <w:bottom w:val="single" w:color="auto" w:sz="4" w:space="0"/>
              <w:right w:val="single" w:color="auto" w:sz="4" w:space="0"/>
            </w:tcBorders>
            <w:noWrap w:val="0"/>
            <w:vAlign w:val="center"/>
          </w:tcPr>
          <w:p w14:paraId="1E2DBE37">
            <w:pPr>
              <w:rPr>
                <w:rFonts w:hint="eastAsia" w:ascii="宋体" w:hAnsi="宋体" w:eastAsia="宋体" w:cs="宋体"/>
                <w:color w:val="000000" w:themeColor="text1"/>
                <w:kern w:val="0"/>
                <w:sz w:val="21"/>
                <w:szCs w:val="21"/>
                <w:highlight w:val="none"/>
                <w14:textFill>
                  <w14:solidFill>
                    <w14:schemeClr w14:val="tx1"/>
                  </w14:solidFill>
                </w14:textFill>
              </w:rPr>
            </w:pPr>
          </w:p>
        </w:tc>
        <w:tc>
          <w:tcPr>
            <w:tcW w:w="1350" w:type="dxa"/>
            <w:tcBorders>
              <w:top w:val="single" w:color="auto" w:sz="4" w:space="0"/>
              <w:left w:val="nil"/>
              <w:bottom w:val="single" w:color="auto" w:sz="4" w:space="0"/>
              <w:right w:val="single" w:color="auto" w:sz="4" w:space="0"/>
            </w:tcBorders>
            <w:noWrap w:val="0"/>
            <w:vAlign w:val="center"/>
          </w:tcPr>
          <w:p w14:paraId="6D7DB78D">
            <w:pPr>
              <w:rPr>
                <w:rFonts w:hint="eastAsia" w:ascii="宋体" w:hAnsi="宋体" w:eastAsia="宋体" w:cs="宋体"/>
                <w:color w:val="000000" w:themeColor="text1"/>
                <w:kern w:val="0"/>
                <w:sz w:val="21"/>
                <w:szCs w:val="21"/>
                <w:highlight w:val="none"/>
                <w14:textFill>
                  <w14:solidFill>
                    <w14:schemeClr w14:val="tx1"/>
                  </w14:solidFill>
                </w14:textFill>
              </w:rPr>
            </w:pPr>
          </w:p>
        </w:tc>
        <w:tc>
          <w:tcPr>
            <w:tcW w:w="1484" w:type="dxa"/>
            <w:tcBorders>
              <w:top w:val="single" w:color="auto" w:sz="4" w:space="0"/>
              <w:left w:val="nil"/>
              <w:bottom w:val="single" w:color="auto" w:sz="4" w:space="0"/>
              <w:right w:val="single" w:color="auto" w:sz="4" w:space="0"/>
            </w:tcBorders>
            <w:noWrap w:val="0"/>
            <w:vAlign w:val="center"/>
          </w:tcPr>
          <w:p w14:paraId="65880E8C">
            <w:pPr>
              <w:rPr>
                <w:rFonts w:hint="eastAsia" w:ascii="宋体" w:hAnsi="宋体" w:eastAsia="宋体" w:cs="宋体"/>
                <w:color w:val="000000" w:themeColor="text1"/>
                <w:kern w:val="0"/>
                <w:sz w:val="21"/>
                <w:szCs w:val="21"/>
                <w:highlight w:val="none"/>
                <w14:textFill>
                  <w14:solidFill>
                    <w14:schemeClr w14:val="tx1"/>
                  </w14:solidFill>
                </w14:textFill>
              </w:rPr>
            </w:pPr>
          </w:p>
        </w:tc>
        <w:tc>
          <w:tcPr>
            <w:tcW w:w="1464" w:type="dxa"/>
            <w:tcBorders>
              <w:top w:val="single" w:color="auto" w:sz="4" w:space="0"/>
              <w:left w:val="nil"/>
              <w:bottom w:val="single" w:color="auto" w:sz="4" w:space="0"/>
              <w:right w:val="single" w:color="auto" w:sz="4" w:space="0"/>
            </w:tcBorders>
            <w:noWrap w:val="0"/>
            <w:vAlign w:val="center"/>
          </w:tcPr>
          <w:p w14:paraId="0EBD7E2F">
            <w:pPr>
              <w:rPr>
                <w:rFonts w:hint="eastAsia" w:ascii="宋体" w:hAnsi="宋体" w:eastAsia="宋体" w:cs="宋体"/>
                <w:color w:val="000000" w:themeColor="text1"/>
                <w:kern w:val="0"/>
                <w:sz w:val="21"/>
                <w:szCs w:val="21"/>
                <w:highlight w:val="none"/>
                <w14:textFill>
                  <w14:solidFill>
                    <w14:schemeClr w14:val="tx1"/>
                  </w14:solidFill>
                </w14:textFill>
              </w:rPr>
            </w:pPr>
          </w:p>
        </w:tc>
      </w:tr>
      <w:tr w14:paraId="16E24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08" w:type="dxa"/>
            <w:gridSpan w:val="6"/>
            <w:tcBorders>
              <w:top w:val="single" w:color="auto" w:sz="4" w:space="0"/>
              <w:left w:val="single" w:color="auto" w:sz="4" w:space="0"/>
              <w:bottom w:val="single" w:color="auto" w:sz="4" w:space="0"/>
              <w:right w:val="single" w:color="auto" w:sz="4" w:space="0"/>
            </w:tcBorders>
            <w:noWrap w:val="0"/>
            <w:vAlign w:val="top"/>
          </w:tcPr>
          <w:p w14:paraId="7F05844F">
            <w:pPr>
              <w:snapToGrid w:val="0"/>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本合同总价（人民币，元，含税）：￥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（大写）：</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w:t>
            </w:r>
          </w:p>
          <w:p w14:paraId="2A6955DF">
            <w:pPr>
              <w:snapToGrid w:val="0"/>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本合同总价中已包括但不限于设</w:t>
            </w:r>
            <w:r>
              <w:rPr>
                <w:rFonts w:hint="eastAsia" w:ascii="宋体" w:hAnsi="宋体" w:eastAsia="宋体" w:cs="宋体"/>
                <w:color w:val="000000" w:themeColor="text1"/>
                <w:kern w:val="0"/>
                <w:sz w:val="21"/>
                <w:szCs w:val="21"/>
                <w:highlight w:val="none"/>
                <w14:textFill>
                  <w14:solidFill>
                    <w14:schemeClr w14:val="tx1"/>
                  </w14:solidFill>
                </w14:textFill>
              </w:rPr>
              <w:t>采购设备的供货、运输、装卸、保险、国家规定的税金、安装调试、培训、验收、售后服务及其他相关伴随服务</w:t>
            </w:r>
            <w:r>
              <w:rPr>
                <w:rFonts w:hint="eastAsia" w:ascii="宋体" w:hAnsi="宋体" w:eastAsia="宋体" w:cs="宋体"/>
                <w:color w:val="000000" w:themeColor="text1"/>
                <w:sz w:val="21"/>
                <w:szCs w:val="21"/>
                <w:highlight w:val="none"/>
                <w14:textFill>
                  <w14:solidFill>
                    <w14:schemeClr w14:val="tx1"/>
                  </w14:solidFill>
                </w14:textFill>
              </w:rPr>
              <w:t>等费用。</w:t>
            </w:r>
            <w:r>
              <w:rPr>
                <w:rFonts w:hint="eastAsia" w:ascii="宋体" w:hAnsi="宋体" w:eastAsia="宋体" w:cs="宋体"/>
                <w:color w:val="000000" w:themeColor="text1"/>
                <w:kern w:val="28"/>
                <w:sz w:val="21"/>
                <w:szCs w:val="21"/>
                <w:highlight w:val="none"/>
                <w14:textFill>
                  <w14:solidFill>
                    <w14:schemeClr w14:val="tx1"/>
                  </w14:solidFill>
                </w14:textFill>
              </w:rPr>
              <w:t>该价格为固定价格，在合同有效期内，</w:t>
            </w:r>
            <w:r>
              <w:rPr>
                <w:rFonts w:hint="eastAsia" w:ascii="宋体" w:hAnsi="宋体" w:eastAsia="宋体" w:cs="宋体"/>
                <w:color w:val="000000" w:themeColor="text1"/>
                <w:sz w:val="21"/>
                <w:szCs w:val="21"/>
                <w:highlight w:val="none"/>
                <w14:textFill>
                  <w14:solidFill>
                    <w14:schemeClr w14:val="tx1"/>
                  </w14:solidFill>
                </w14:textFill>
              </w:rPr>
              <w:t>甲</w:t>
            </w:r>
            <w:r>
              <w:rPr>
                <w:rFonts w:hint="eastAsia" w:ascii="宋体" w:hAnsi="宋体" w:eastAsia="宋体" w:cs="宋体"/>
                <w:color w:val="000000" w:themeColor="text1"/>
                <w:kern w:val="28"/>
                <w:sz w:val="21"/>
                <w:szCs w:val="21"/>
                <w:highlight w:val="none"/>
                <w14:textFill>
                  <w14:solidFill>
                    <w14:schemeClr w14:val="tx1"/>
                  </w14:solidFill>
                </w14:textFill>
              </w:rPr>
              <w:t>方不承担因各种因素所导致的制造成本上升而产生的价格上涨风险。</w:t>
            </w:r>
          </w:p>
        </w:tc>
      </w:tr>
    </w:tbl>
    <w:p w14:paraId="40B75283">
      <w:pPr>
        <w:adjustRightInd w:val="0"/>
        <w:snapToGrid w:val="0"/>
        <w:spacing w:line="460" w:lineRule="exact"/>
        <w:ind w:firstLine="462" w:firstLineChars="200"/>
        <w:rPr>
          <w:rFonts w:hint="eastAsia" w:ascii="宋体" w:hAnsi="宋体" w:eastAsia="宋体" w:cs="宋体"/>
          <w:b/>
          <w:color w:val="000000" w:themeColor="text1"/>
          <w:spacing w:val="10"/>
          <w:kern w:val="0"/>
          <w:sz w:val="21"/>
          <w:szCs w:val="21"/>
          <w:highlight w:val="none"/>
          <w14:textFill>
            <w14:solidFill>
              <w14:schemeClr w14:val="tx1"/>
            </w14:solidFill>
          </w14:textFill>
        </w:rPr>
      </w:pPr>
    </w:p>
    <w:p w14:paraId="097E0F0A">
      <w:pPr>
        <w:adjustRightInd w:val="0"/>
        <w:snapToGrid w:val="0"/>
        <w:spacing w:line="460" w:lineRule="exact"/>
        <w:ind w:firstLine="462" w:firstLineChars="200"/>
        <w:rPr>
          <w:rFonts w:hint="eastAsia" w:ascii="宋体" w:hAnsi="宋体" w:eastAsia="宋体" w:cs="宋体"/>
          <w:b/>
          <w:color w:val="000000" w:themeColor="text1"/>
          <w:spacing w:val="10"/>
          <w:kern w:val="0"/>
          <w:sz w:val="21"/>
          <w:szCs w:val="21"/>
          <w:highlight w:val="none"/>
          <w14:textFill>
            <w14:solidFill>
              <w14:schemeClr w14:val="tx1"/>
            </w14:solidFill>
          </w14:textFill>
        </w:rPr>
      </w:pPr>
      <w:r>
        <w:rPr>
          <w:rFonts w:hint="eastAsia" w:ascii="宋体" w:hAnsi="宋体" w:eastAsia="宋体" w:cs="宋体"/>
          <w:b/>
          <w:color w:val="000000" w:themeColor="text1"/>
          <w:spacing w:val="10"/>
          <w:kern w:val="0"/>
          <w:sz w:val="21"/>
          <w:szCs w:val="21"/>
          <w:highlight w:val="none"/>
          <w14:textFill>
            <w14:solidFill>
              <w14:schemeClr w14:val="tx1"/>
            </w14:solidFill>
          </w14:textFill>
        </w:rPr>
        <w:t>第四条 设备质量要求</w:t>
      </w:r>
      <w:bookmarkEnd w:id="768"/>
    </w:p>
    <w:p w14:paraId="6367BA1B">
      <w:pPr>
        <w:adjustRightInd w:val="0"/>
        <w:snapToGrid w:val="0"/>
        <w:spacing w:line="460" w:lineRule="exact"/>
        <w:ind w:firstLine="460" w:firstLineChars="200"/>
        <w:rPr>
          <w:rFonts w:hint="eastAsia" w:ascii="宋体" w:hAnsi="宋体" w:eastAsia="宋体" w:cs="宋体"/>
          <w:color w:val="000000" w:themeColor="text1"/>
          <w:spacing w:val="10"/>
          <w:kern w:val="0"/>
          <w:sz w:val="21"/>
          <w:szCs w:val="21"/>
          <w:highlight w:val="none"/>
          <w14:textFill>
            <w14:solidFill>
              <w14:schemeClr w14:val="tx1"/>
            </w14:solidFill>
          </w14:textFill>
        </w:rPr>
      </w:pPr>
      <w:r>
        <w:rPr>
          <w:rFonts w:hint="eastAsia" w:ascii="宋体" w:hAnsi="宋体" w:eastAsia="宋体" w:cs="宋体"/>
          <w:color w:val="000000" w:themeColor="text1"/>
          <w:spacing w:val="10"/>
          <w:kern w:val="0"/>
          <w:sz w:val="21"/>
          <w:szCs w:val="21"/>
          <w:highlight w:val="none"/>
          <w14:textFill>
            <w14:solidFill>
              <w14:schemeClr w14:val="tx1"/>
            </w14:solidFill>
          </w14:textFill>
        </w:rPr>
        <w:t>1.质量要求：</w:t>
      </w:r>
      <w:r>
        <w:rPr>
          <w:rFonts w:hint="eastAsia" w:ascii="宋体" w:hAnsi="宋体" w:eastAsia="宋体" w:cs="宋体"/>
          <w:color w:val="000000" w:themeColor="text1"/>
          <w:spacing w:val="10"/>
          <w:kern w:val="0"/>
          <w:sz w:val="21"/>
          <w:szCs w:val="21"/>
          <w:highlight w:val="none"/>
          <w:u w:val="single"/>
          <w14:textFill>
            <w14:solidFill>
              <w14:schemeClr w14:val="tx1"/>
            </w14:solidFill>
          </w14:textFill>
        </w:rPr>
        <w:tab/>
      </w:r>
      <w:r>
        <w:rPr>
          <w:rFonts w:hint="eastAsia" w:ascii="宋体" w:hAnsi="宋体" w:eastAsia="宋体" w:cs="宋体"/>
          <w:color w:val="000000" w:themeColor="text1"/>
          <w:spacing w:val="10"/>
          <w:kern w:val="0"/>
          <w:sz w:val="21"/>
          <w:szCs w:val="21"/>
          <w:highlight w:val="none"/>
          <w:u w:val="single"/>
          <w14:textFill>
            <w14:solidFill>
              <w14:schemeClr w14:val="tx1"/>
            </w14:solidFill>
          </w14:textFill>
        </w:rPr>
        <w:tab/>
      </w:r>
      <w:r>
        <w:rPr>
          <w:rFonts w:hint="eastAsia" w:ascii="宋体" w:hAnsi="宋体" w:eastAsia="宋体" w:cs="宋体"/>
          <w:color w:val="000000" w:themeColor="text1"/>
          <w:spacing w:val="10"/>
          <w:kern w:val="0"/>
          <w:sz w:val="21"/>
          <w:szCs w:val="21"/>
          <w:highlight w:val="none"/>
          <w:u w:val="single"/>
          <w14:textFill>
            <w14:solidFill>
              <w14:schemeClr w14:val="tx1"/>
            </w14:solidFill>
          </w14:textFill>
        </w:rPr>
        <w:tab/>
      </w:r>
      <w:r>
        <w:rPr>
          <w:rFonts w:hint="eastAsia" w:ascii="宋体" w:hAnsi="宋体" w:eastAsia="宋体" w:cs="宋体"/>
          <w:color w:val="000000" w:themeColor="text1"/>
          <w:spacing w:val="10"/>
          <w:kern w:val="0"/>
          <w:sz w:val="21"/>
          <w:szCs w:val="21"/>
          <w:highlight w:val="none"/>
          <w:u w:val="single"/>
          <w14:textFill>
            <w14:solidFill>
              <w14:schemeClr w14:val="tx1"/>
            </w14:solidFill>
          </w14:textFill>
        </w:rPr>
        <w:tab/>
      </w:r>
      <w:r>
        <w:rPr>
          <w:rFonts w:hint="eastAsia" w:ascii="宋体" w:hAnsi="宋体" w:eastAsia="宋体" w:cs="宋体"/>
          <w:color w:val="000000" w:themeColor="text1"/>
          <w:spacing w:val="10"/>
          <w:kern w:val="0"/>
          <w:sz w:val="21"/>
          <w:szCs w:val="21"/>
          <w:highlight w:val="none"/>
          <w:u w:val="single"/>
          <w14:textFill>
            <w14:solidFill>
              <w14:schemeClr w14:val="tx1"/>
            </w14:solidFill>
          </w14:textFill>
        </w:rPr>
        <w:tab/>
      </w:r>
      <w:r>
        <w:rPr>
          <w:rFonts w:hint="eastAsia" w:ascii="宋体" w:hAnsi="宋体" w:eastAsia="宋体" w:cs="宋体"/>
          <w:color w:val="000000" w:themeColor="text1"/>
          <w:spacing w:val="10"/>
          <w:kern w:val="0"/>
          <w:sz w:val="21"/>
          <w:szCs w:val="21"/>
          <w:highlight w:val="none"/>
          <w:u w:val="single"/>
          <w14:textFill>
            <w14:solidFill>
              <w14:schemeClr w14:val="tx1"/>
            </w14:solidFill>
          </w14:textFill>
        </w:rPr>
        <w:tab/>
      </w:r>
      <w:r>
        <w:rPr>
          <w:rFonts w:hint="eastAsia" w:ascii="宋体" w:hAnsi="宋体" w:eastAsia="宋体" w:cs="宋体"/>
          <w:color w:val="000000" w:themeColor="text1"/>
          <w:spacing w:val="10"/>
          <w:kern w:val="0"/>
          <w:sz w:val="21"/>
          <w:szCs w:val="21"/>
          <w:highlight w:val="none"/>
          <w:u w:val="single"/>
          <w14:textFill>
            <w14:solidFill>
              <w14:schemeClr w14:val="tx1"/>
            </w14:solidFill>
          </w14:textFill>
        </w:rPr>
        <w:tab/>
      </w:r>
      <w:r>
        <w:rPr>
          <w:rFonts w:hint="eastAsia" w:ascii="宋体" w:hAnsi="宋体" w:eastAsia="宋体" w:cs="宋体"/>
          <w:color w:val="000000" w:themeColor="text1"/>
          <w:spacing w:val="10"/>
          <w:kern w:val="0"/>
          <w:sz w:val="21"/>
          <w:szCs w:val="21"/>
          <w:highlight w:val="none"/>
          <w14:textFill>
            <w14:solidFill>
              <w14:schemeClr w14:val="tx1"/>
            </w14:solidFill>
          </w14:textFill>
        </w:rPr>
        <w:t>。</w:t>
      </w:r>
    </w:p>
    <w:p w14:paraId="48D53AB1">
      <w:pPr>
        <w:adjustRightInd w:val="0"/>
        <w:snapToGrid w:val="0"/>
        <w:spacing w:line="460" w:lineRule="exact"/>
        <w:ind w:firstLine="460" w:firstLineChars="200"/>
        <w:rPr>
          <w:rFonts w:hint="eastAsia" w:ascii="宋体" w:hAnsi="宋体" w:eastAsia="宋体" w:cs="宋体"/>
          <w:color w:val="000000" w:themeColor="text1"/>
          <w:spacing w:val="10"/>
          <w:kern w:val="0"/>
          <w:sz w:val="21"/>
          <w:szCs w:val="21"/>
          <w:highlight w:val="none"/>
          <w14:textFill>
            <w14:solidFill>
              <w14:schemeClr w14:val="tx1"/>
            </w14:solidFill>
          </w14:textFill>
        </w:rPr>
      </w:pPr>
      <w:r>
        <w:rPr>
          <w:rFonts w:hint="eastAsia" w:ascii="宋体" w:hAnsi="宋体" w:eastAsia="宋体" w:cs="宋体"/>
          <w:color w:val="000000" w:themeColor="text1"/>
          <w:spacing w:val="10"/>
          <w:kern w:val="0"/>
          <w:sz w:val="21"/>
          <w:szCs w:val="21"/>
          <w:highlight w:val="none"/>
          <w14:textFill>
            <w14:solidFill>
              <w14:schemeClr w14:val="tx1"/>
            </w14:solidFill>
          </w14:textFill>
        </w:rPr>
        <w:t>2.乙方提供的设备均须为</w:t>
      </w:r>
      <w:r>
        <w:rPr>
          <w:rFonts w:hint="eastAsia" w:ascii="宋体" w:hAnsi="宋体" w:eastAsia="宋体" w:cs="宋体"/>
          <w:bCs/>
          <w:color w:val="000000" w:themeColor="text1"/>
          <w:kern w:val="0"/>
          <w:sz w:val="21"/>
          <w:szCs w:val="21"/>
          <w:highlight w:val="none"/>
          <w14:textFill>
            <w14:solidFill>
              <w14:schemeClr w14:val="tx1"/>
            </w14:solidFill>
          </w14:textFill>
        </w:rPr>
        <w:t>全新的、未使用过的</w:t>
      </w:r>
      <w:r>
        <w:rPr>
          <w:rFonts w:hint="eastAsia" w:ascii="宋体" w:hAnsi="宋体" w:eastAsia="宋体" w:cs="宋体"/>
          <w:color w:val="000000" w:themeColor="text1"/>
          <w:spacing w:val="10"/>
          <w:kern w:val="0"/>
          <w:sz w:val="21"/>
          <w:szCs w:val="21"/>
          <w:highlight w:val="none"/>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包括零部件、附件、备品备件</w:t>
      </w:r>
      <w:r>
        <w:rPr>
          <w:rFonts w:hint="eastAsia" w:ascii="宋体" w:hAnsi="宋体" w:eastAsia="宋体" w:cs="宋体"/>
          <w:color w:val="000000" w:themeColor="text1"/>
          <w:spacing w:val="10"/>
          <w:kern w:val="0"/>
          <w:sz w:val="21"/>
          <w:szCs w:val="21"/>
          <w:highlight w:val="none"/>
          <w14:textFill>
            <w14:solidFill>
              <w14:schemeClr w14:val="tx1"/>
            </w14:solidFill>
          </w14:textFill>
        </w:rPr>
        <w:t>）。</w:t>
      </w:r>
    </w:p>
    <w:p w14:paraId="3EE2A4AC">
      <w:pPr>
        <w:adjustRightInd w:val="0"/>
        <w:snapToGrid w:val="0"/>
        <w:spacing w:line="460" w:lineRule="exact"/>
        <w:ind w:firstLine="46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pacing w:val="10"/>
          <w:kern w:val="0"/>
          <w:sz w:val="21"/>
          <w:szCs w:val="21"/>
          <w:highlight w:val="none"/>
          <w14:textFill>
            <w14:solidFill>
              <w14:schemeClr w14:val="tx1"/>
            </w14:solidFill>
          </w14:textFill>
        </w:rPr>
        <w:t>3</w:t>
      </w:r>
      <w:r>
        <w:rPr>
          <w:rFonts w:hint="eastAsia" w:ascii="宋体" w:hAnsi="宋体" w:eastAsia="宋体" w:cs="宋体"/>
          <w:color w:val="000000" w:themeColor="text1"/>
          <w:kern w:val="0"/>
          <w:sz w:val="21"/>
          <w:szCs w:val="21"/>
          <w:highlight w:val="none"/>
          <w14:textFill>
            <w14:solidFill>
              <w14:schemeClr w14:val="tx1"/>
            </w14:solidFill>
          </w14:textFill>
        </w:rPr>
        <w:t>.乙方保证所供设备质量符合国家相关质量标准和技术要求，符合设备清单中所载规格及参数；所供设备没有国家质量标准的，符合行业质量标准。</w:t>
      </w:r>
    </w:p>
    <w:p w14:paraId="367C2DDB">
      <w:pPr>
        <w:adjustRightInd w:val="0"/>
        <w:snapToGrid w:val="0"/>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 xml:space="preserve">4.产品的质量应符合招标文件、投标文件及乙方在评标过程中做出的书面澄清及承诺。 </w:t>
      </w:r>
    </w:p>
    <w:p w14:paraId="17D899E7">
      <w:pPr>
        <w:adjustRightInd w:val="0"/>
        <w:snapToGrid w:val="0"/>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5.乙方提供的设备不符合上述质量要求的，甲方有权拒绝接收该设备，乙方应更换被拒绝的设备，并符合合同规定的质量要求，由此所造成的交货逾期损失由乙方承担。</w:t>
      </w:r>
    </w:p>
    <w:p w14:paraId="0E8582E8">
      <w:pPr>
        <w:adjustRightInd w:val="0"/>
        <w:snapToGrid w:val="0"/>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6.因采购的设备的质量问题发生争议，由具备该类产品质量检测资格的相关部门进行质量鉴定，鉴定费用由乙方负责。</w:t>
      </w:r>
    </w:p>
    <w:p w14:paraId="6631665C">
      <w:pPr>
        <w:spacing w:line="460" w:lineRule="exact"/>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第五条 专利</w:t>
      </w:r>
    </w:p>
    <w:p w14:paraId="7D089AAF">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乙方必须保障甲方在使用其提供的产品时不受到第三方关于侵犯专利权、商标权及其所有知识产权的指控。任何第三方如果提出侵权指控，乙方必须与第三方交涉并承担因此产生的一切法律责任和损失。</w:t>
      </w:r>
    </w:p>
    <w:p w14:paraId="0280627F">
      <w:pPr>
        <w:spacing w:line="460" w:lineRule="exact"/>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第六条 交货及验收</w:t>
      </w:r>
    </w:p>
    <w:p w14:paraId="50953EB3">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bookmarkStart w:id="769" w:name="_Hlt503602554"/>
      <w:bookmarkEnd w:id="769"/>
      <w:bookmarkStart w:id="770" w:name="_Hlt503599660"/>
      <w:bookmarkEnd w:id="770"/>
      <w:bookmarkStart w:id="771" w:name="第三条交货地点"/>
      <w:r>
        <w:rPr>
          <w:rFonts w:hint="eastAsia" w:ascii="宋体" w:hAnsi="宋体" w:eastAsia="宋体" w:cs="宋体"/>
          <w:color w:val="000000" w:themeColor="text1"/>
          <w:sz w:val="21"/>
          <w:szCs w:val="21"/>
          <w:highlight w:val="none"/>
          <w14:textFill>
            <w14:solidFill>
              <w14:schemeClr w14:val="tx1"/>
            </w14:solidFill>
          </w14:textFill>
        </w:rPr>
        <w:t>1、乙方须在合同生效后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日内完成交货及安装调试，交货地及安装点</w:t>
      </w:r>
      <w:bookmarkEnd w:id="771"/>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w:t>
      </w:r>
    </w:p>
    <w:p w14:paraId="47659D46">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2、货物在到达甲方所要求的上述地点的运输、装卸、保险等事项均由乙方负责办理，乙方应当自行承担交货验收合格前的一切费用和风险。</w:t>
      </w:r>
      <w:bookmarkStart w:id="772" w:name="_Hlt503692535"/>
      <w:bookmarkEnd w:id="772"/>
      <w:bookmarkStart w:id="773" w:name="第四条交货时间"/>
    </w:p>
    <w:p w14:paraId="5A9D2B56">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3、交货的同时，乙方负责免费提供设备现场操作、运行、维护、修理的现场培训，直到甲方受训人员能完全掌握仪器设备的基本操作和仪器的日常维护。</w:t>
      </w:r>
    </w:p>
    <w:bookmarkEnd w:id="773"/>
    <w:p w14:paraId="3B0F2639">
      <w:pPr>
        <w:spacing w:line="460" w:lineRule="exact"/>
        <w:ind w:firstLine="420" w:firstLineChars="200"/>
        <w:textAlignment w:val="baseline"/>
        <w:rPr>
          <w:rFonts w:hint="eastAsia" w:ascii="宋体" w:hAnsi="宋体" w:eastAsia="宋体" w:cs="宋体"/>
          <w:color w:val="000000" w:themeColor="text1"/>
          <w:sz w:val="21"/>
          <w:szCs w:val="21"/>
          <w:highlight w:val="none"/>
          <w14:textFill>
            <w14:solidFill>
              <w14:schemeClr w14:val="tx1"/>
            </w14:solidFill>
          </w14:textFill>
        </w:rPr>
      </w:pPr>
      <w:bookmarkStart w:id="774" w:name="_Hlt503692538"/>
      <w:bookmarkEnd w:id="774"/>
      <w:r>
        <w:rPr>
          <w:rFonts w:hint="eastAsia" w:ascii="宋体" w:hAnsi="宋体" w:eastAsia="宋体" w:cs="宋体"/>
          <w:color w:val="000000" w:themeColor="text1"/>
          <w:sz w:val="21"/>
          <w:szCs w:val="21"/>
          <w:highlight w:val="none"/>
          <w14:textFill>
            <w14:solidFill>
              <w14:schemeClr w14:val="tx1"/>
            </w14:solidFill>
          </w14:textFill>
        </w:rPr>
        <w:t>4、检验标准、方法、地点及期限：</w:t>
      </w:r>
    </w:p>
    <w:p w14:paraId="178BE569">
      <w:pPr>
        <w:spacing w:line="460" w:lineRule="exact"/>
        <w:ind w:firstLine="420" w:firstLineChars="200"/>
        <w:textAlignment w:val="baseline"/>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（1）检验标准:按本合同第四条质量标准进行检验。</w:t>
      </w:r>
    </w:p>
    <w:p w14:paraId="2C8919F2">
      <w:pPr>
        <w:spacing w:line="460" w:lineRule="exact"/>
        <w:ind w:firstLine="420" w:firstLineChars="200"/>
        <w:textAlignment w:val="baseline"/>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（2）验收方式:</w:t>
      </w:r>
    </w:p>
    <w:p w14:paraId="327399E5">
      <w:pPr>
        <w:adjustRightInd w:val="0"/>
        <w:snapToGrid w:val="0"/>
        <w:spacing w:line="460" w:lineRule="exact"/>
        <w:ind w:firstLine="460" w:firstLineChars="200"/>
        <w:rPr>
          <w:rFonts w:hint="eastAsia" w:ascii="宋体" w:hAnsi="宋体" w:eastAsia="宋体" w:cs="宋体"/>
          <w:color w:val="000000" w:themeColor="text1"/>
          <w:spacing w:val="10"/>
          <w:kern w:val="0"/>
          <w:sz w:val="21"/>
          <w:szCs w:val="21"/>
          <w:highlight w:val="none"/>
          <w14:textFill>
            <w14:solidFill>
              <w14:schemeClr w14:val="tx1"/>
            </w14:solidFill>
          </w14:textFill>
        </w:rPr>
      </w:pPr>
      <w:r>
        <w:rPr>
          <w:rFonts w:hint="eastAsia" w:ascii="宋体" w:hAnsi="宋体" w:eastAsia="宋体" w:cs="宋体"/>
          <w:color w:val="000000" w:themeColor="text1"/>
          <w:spacing w:val="10"/>
          <w:kern w:val="0"/>
          <w:sz w:val="21"/>
          <w:szCs w:val="21"/>
          <w:highlight w:val="none"/>
          <w14:textFill>
            <w14:solidFill>
              <w14:schemeClr w14:val="tx1"/>
            </w14:solidFill>
          </w14:textFill>
        </w:rPr>
        <w:t>①货物到货时，包装必须完好无缺,产品规格型号、产品种类、数量等符合合同要求。</w:t>
      </w:r>
    </w:p>
    <w:p w14:paraId="64A0E347">
      <w:pPr>
        <w:adjustRightInd w:val="0"/>
        <w:snapToGrid w:val="0"/>
        <w:spacing w:line="460" w:lineRule="exact"/>
        <w:ind w:firstLine="460" w:firstLineChars="200"/>
        <w:rPr>
          <w:rFonts w:hint="eastAsia" w:ascii="宋体" w:hAnsi="宋体" w:eastAsia="宋体" w:cs="宋体"/>
          <w:color w:val="000000" w:themeColor="text1"/>
          <w:spacing w:val="10"/>
          <w:kern w:val="0"/>
          <w:sz w:val="21"/>
          <w:szCs w:val="21"/>
          <w:highlight w:val="none"/>
          <w14:textFill>
            <w14:solidFill>
              <w14:schemeClr w14:val="tx1"/>
            </w14:solidFill>
          </w14:textFill>
        </w:rPr>
      </w:pPr>
      <w:r>
        <w:rPr>
          <w:rFonts w:hint="eastAsia" w:ascii="宋体" w:hAnsi="宋体" w:eastAsia="宋体" w:cs="宋体"/>
          <w:color w:val="000000" w:themeColor="text1"/>
          <w:spacing w:val="10"/>
          <w:kern w:val="0"/>
          <w:sz w:val="21"/>
          <w:szCs w:val="21"/>
          <w:highlight w:val="none"/>
          <w14:textFill>
            <w14:solidFill>
              <w14:schemeClr w14:val="tx1"/>
            </w14:solidFill>
          </w14:textFill>
        </w:rPr>
        <w:t>②到货后，甲方会同乙方到现场进行清点，清点货物数量、品牌规格型号、配件等与合同的约定是否相符。货物有丢失或损坏，或者货物的包装、品牌、规格型号等不符合合同约定的，甲方有权要求乙方退回更换或补齐货物，乙方实际交货时间以最终补齐货物时间为准。参与交货验收的单位在货物清单上共同签字。此签单仅作为乙方交货的凭证，不作为乙方货物是否合格的最终依据。若乙方的产品经送检不符合本合同约定或安装后因产品质量问题未能通过验收的，乙方仍应当向甲方承担违约责任。</w:t>
      </w:r>
    </w:p>
    <w:p w14:paraId="4BE990EF">
      <w:pPr>
        <w:adjustRightInd w:val="0"/>
        <w:snapToGrid w:val="0"/>
        <w:spacing w:line="460" w:lineRule="exact"/>
        <w:ind w:firstLine="460" w:firstLineChars="200"/>
        <w:rPr>
          <w:rFonts w:hint="eastAsia" w:ascii="宋体" w:hAnsi="宋体" w:eastAsia="宋体" w:cs="宋体"/>
          <w:color w:val="000000" w:themeColor="text1"/>
          <w:spacing w:val="10"/>
          <w:kern w:val="0"/>
          <w:sz w:val="21"/>
          <w:szCs w:val="21"/>
          <w:highlight w:val="none"/>
          <w14:textFill>
            <w14:solidFill>
              <w14:schemeClr w14:val="tx1"/>
            </w14:solidFill>
          </w14:textFill>
        </w:rPr>
      </w:pPr>
      <w:r>
        <w:rPr>
          <w:rFonts w:hint="eastAsia" w:ascii="宋体" w:hAnsi="宋体" w:eastAsia="宋体" w:cs="宋体"/>
          <w:color w:val="000000" w:themeColor="text1"/>
          <w:spacing w:val="10"/>
          <w:kern w:val="0"/>
          <w:sz w:val="21"/>
          <w:szCs w:val="21"/>
          <w:highlight w:val="none"/>
          <w14:textFill>
            <w14:solidFill>
              <w14:schemeClr w14:val="tx1"/>
            </w14:solidFill>
          </w14:textFill>
        </w:rPr>
        <w:t>③在交货的同时应向甲方提交产品合格证等产品质量证明文件、说明书、保修凭证等相关资料，否则，甲方有权拒绝接受货物。</w:t>
      </w:r>
    </w:p>
    <w:p w14:paraId="45B5D85B">
      <w:pPr>
        <w:adjustRightInd w:val="0"/>
        <w:snapToGrid w:val="0"/>
        <w:spacing w:line="460" w:lineRule="exact"/>
        <w:ind w:firstLine="460" w:firstLineChars="200"/>
        <w:rPr>
          <w:rFonts w:hint="eastAsia" w:ascii="宋体" w:hAnsi="宋体" w:eastAsia="宋体" w:cs="宋体"/>
          <w:color w:val="000000" w:themeColor="text1"/>
          <w:spacing w:val="10"/>
          <w:kern w:val="0"/>
          <w:sz w:val="21"/>
          <w:szCs w:val="21"/>
          <w:highlight w:val="none"/>
          <w14:textFill>
            <w14:solidFill>
              <w14:schemeClr w14:val="tx1"/>
            </w14:solidFill>
          </w14:textFill>
        </w:rPr>
      </w:pPr>
      <w:r>
        <w:rPr>
          <w:rFonts w:hint="eastAsia" w:ascii="宋体" w:hAnsi="宋体" w:eastAsia="宋体" w:cs="宋体"/>
          <w:color w:val="000000" w:themeColor="text1"/>
          <w:spacing w:val="10"/>
          <w:kern w:val="0"/>
          <w:sz w:val="21"/>
          <w:szCs w:val="21"/>
          <w:highlight w:val="none"/>
          <w14:textFill>
            <w14:solidFill>
              <w14:schemeClr w14:val="tx1"/>
            </w14:solidFill>
          </w14:textFill>
        </w:rPr>
        <w:t>④设备安装调试：设备经开箱检查确认一切正常后，由设备安装工程师执行安装调试直至达到验收指标（以技术规格要求指标为验收指标）。</w:t>
      </w:r>
    </w:p>
    <w:p w14:paraId="1D64DB1E">
      <w:pPr>
        <w:adjustRightInd w:val="0"/>
        <w:snapToGrid w:val="0"/>
        <w:spacing w:line="460" w:lineRule="exact"/>
        <w:ind w:firstLine="460" w:firstLineChars="200"/>
        <w:rPr>
          <w:rFonts w:hint="eastAsia" w:ascii="宋体" w:hAnsi="宋体" w:eastAsia="宋体" w:cs="宋体"/>
          <w:color w:val="000000" w:themeColor="text1"/>
          <w:spacing w:val="10"/>
          <w:kern w:val="0"/>
          <w:sz w:val="21"/>
          <w:szCs w:val="21"/>
          <w:highlight w:val="none"/>
          <w14:textFill>
            <w14:solidFill>
              <w14:schemeClr w14:val="tx1"/>
            </w14:solidFill>
          </w14:textFill>
        </w:rPr>
      </w:pPr>
      <w:r>
        <w:rPr>
          <w:rFonts w:hint="eastAsia" w:ascii="宋体" w:hAnsi="宋体" w:eastAsia="宋体" w:cs="宋体"/>
          <w:color w:val="000000" w:themeColor="text1"/>
          <w:spacing w:val="10"/>
          <w:kern w:val="0"/>
          <w:sz w:val="21"/>
          <w:szCs w:val="21"/>
          <w:highlight w:val="none"/>
          <w14:textFill>
            <w14:solidFill>
              <w14:schemeClr w14:val="tx1"/>
            </w14:solidFill>
          </w14:textFill>
        </w:rPr>
        <w:t>4、安装</w:t>
      </w:r>
    </w:p>
    <w:p w14:paraId="63ED83D5">
      <w:pPr>
        <w:adjustRightInd w:val="0"/>
        <w:snapToGrid w:val="0"/>
        <w:spacing w:line="460" w:lineRule="exact"/>
        <w:ind w:firstLine="420" w:firstLineChars="200"/>
        <w:rPr>
          <w:rFonts w:hint="eastAsia" w:ascii="宋体" w:hAnsi="宋体" w:eastAsia="宋体" w:cs="宋体"/>
          <w:color w:val="000000" w:themeColor="text1"/>
          <w:spacing w:val="10"/>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（1）货物验收合格后，乙方应在</w:t>
      </w:r>
      <w:r>
        <w:rPr>
          <w:rFonts w:hint="eastAsia" w:ascii="宋体" w:hAnsi="宋体" w:eastAsia="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sz w:val="21"/>
          <w:szCs w:val="21"/>
          <w:highlight w:val="none"/>
          <w14:textFill>
            <w14:solidFill>
              <w14:schemeClr w14:val="tx1"/>
            </w14:solidFill>
          </w14:textFill>
        </w:rPr>
        <w:t>年</w:t>
      </w:r>
      <w:r>
        <w:rPr>
          <w:rFonts w:hint="eastAsia" w:ascii="宋体" w:hAnsi="宋体" w:eastAsia="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sz w:val="21"/>
          <w:szCs w:val="21"/>
          <w:highlight w:val="none"/>
          <w14:textFill>
            <w14:solidFill>
              <w14:schemeClr w14:val="tx1"/>
            </w14:solidFill>
          </w14:textFill>
        </w:rPr>
        <w:t>月</w:t>
      </w:r>
      <w:r>
        <w:rPr>
          <w:rFonts w:hint="eastAsia" w:ascii="宋体" w:hAnsi="宋体" w:eastAsia="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sz w:val="21"/>
          <w:szCs w:val="21"/>
          <w:highlight w:val="none"/>
          <w14:textFill>
            <w14:solidFill>
              <w14:schemeClr w14:val="tx1"/>
            </w14:solidFill>
          </w14:textFill>
        </w:rPr>
        <w:t>日前完成所有设备的安装调试</w:t>
      </w:r>
      <w:r>
        <w:rPr>
          <w:rFonts w:hint="eastAsia" w:ascii="宋体" w:hAnsi="宋体" w:eastAsia="宋体" w:cs="宋体"/>
          <w:color w:val="000000" w:themeColor="text1"/>
          <w:spacing w:val="10"/>
          <w:kern w:val="0"/>
          <w:sz w:val="21"/>
          <w:szCs w:val="21"/>
          <w:highlight w:val="none"/>
          <w14:textFill>
            <w14:solidFill>
              <w14:schemeClr w14:val="tx1"/>
            </w14:solidFill>
          </w14:textFill>
        </w:rPr>
        <w:t>，使其投入正常使用，若相关设备无法正常使用，则</w:t>
      </w:r>
      <w:r>
        <w:rPr>
          <w:rFonts w:hint="eastAsia" w:ascii="宋体" w:hAnsi="宋体" w:eastAsia="宋体" w:cs="宋体"/>
          <w:color w:val="000000" w:themeColor="text1"/>
          <w:kern w:val="0"/>
          <w:sz w:val="21"/>
          <w:szCs w:val="21"/>
          <w:highlight w:val="none"/>
          <w14:textFill>
            <w14:solidFill>
              <w14:schemeClr w14:val="tx1"/>
            </w14:solidFill>
          </w14:textFill>
        </w:rPr>
        <w:t>按不能交货对待。安装时由乙方有资质的技术人员依据本合同要求进行安装、调试。</w:t>
      </w:r>
    </w:p>
    <w:p w14:paraId="16BCA5B3">
      <w:pPr>
        <w:adjustRightInd w:val="0"/>
        <w:snapToGrid w:val="0"/>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（2）乙方工作人员应遵守甲方各项规章制度，做到安装调试现场文明安全施工，举止礼貌，对所产生的废弃垃圾进行相应的收集和处理，做到工完场清。若因垃圾处理不当所产生的环境污染等责任由乙方承担。</w:t>
      </w:r>
    </w:p>
    <w:p w14:paraId="3141CF4D">
      <w:pPr>
        <w:adjustRightInd w:val="0"/>
        <w:snapToGrid w:val="0"/>
        <w:spacing w:line="460" w:lineRule="exact"/>
        <w:ind w:firstLine="462" w:firstLineChars="200"/>
        <w:rPr>
          <w:rFonts w:hint="eastAsia" w:ascii="宋体" w:hAnsi="宋体" w:eastAsia="宋体" w:cs="宋体"/>
          <w:b/>
          <w:color w:val="000000" w:themeColor="text1"/>
          <w:spacing w:val="10"/>
          <w:kern w:val="0"/>
          <w:sz w:val="21"/>
          <w:szCs w:val="21"/>
          <w:highlight w:val="none"/>
          <w14:textFill>
            <w14:solidFill>
              <w14:schemeClr w14:val="tx1"/>
            </w14:solidFill>
          </w14:textFill>
        </w:rPr>
      </w:pPr>
      <w:bookmarkStart w:id="775" w:name="_Toc135648942"/>
      <w:r>
        <w:rPr>
          <w:rFonts w:hint="eastAsia" w:ascii="宋体" w:hAnsi="宋体" w:eastAsia="宋体" w:cs="宋体"/>
          <w:b/>
          <w:color w:val="000000" w:themeColor="text1"/>
          <w:spacing w:val="10"/>
          <w:kern w:val="0"/>
          <w:sz w:val="21"/>
          <w:szCs w:val="21"/>
          <w:highlight w:val="none"/>
          <w14:textFill>
            <w14:solidFill>
              <w14:schemeClr w14:val="tx1"/>
            </w14:solidFill>
          </w14:textFill>
        </w:rPr>
        <w:t>第七条 付款方式及期限</w:t>
      </w:r>
      <w:bookmarkEnd w:id="775"/>
    </w:p>
    <w:p w14:paraId="58FB5839">
      <w:pPr>
        <w:spacing w:line="460" w:lineRule="exact"/>
        <w:ind w:firstLine="420" w:firstLineChars="200"/>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货物到货验收合格后支付合同金额的30%，剩余70%在安装调试完毕并经甲方最终验收合格后一次性付清。 </w:t>
      </w:r>
    </w:p>
    <w:p w14:paraId="790A4626">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2、乙方确认收款账户如下：</w:t>
      </w:r>
    </w:p>
    <w:p w14:paraId="425E62FB">
      <w:pPr>
        <w:spacing w:line="460" w:lineRule="exact"/>
        <w:ind w:firstLine="420" w:firstLineChars="20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账户名称：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298F792A">
      <w:pPr>
        <w:spacing w:line="460" w:lineRule="exact"/>
        <w:ind w:firstLine="420" w:firstLineChars="20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账户号码：</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224E3248">
      <w:pPr>
        <w:spacing w:line="460" w:lineRule="exact"/>
        <w:ind w:firstLine="420"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开户银行：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7FEFDCB7">
      <w:pPr>
        <w:spacing w:line="460" w:lineRule="exact"/>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第八条 售后服务</w:t>
      </w:r>
    </w:p>
    <w:p w14:paraId="74A8FA5F">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1、乙方售后服务部门负责人姓名：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，联系电话：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w:t>
      </w:r>
    </w:p>
    <w:p w14:paraId="1493B8C2">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2、质保期：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47E9FF05">
      <w:pPr>
        <w:adjustRightInd w:val="0"/>
        <w:snapToGrid w:val="0"/>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3、其他售后服务要求：</w:t>
      </w:r>
    </w:p>
    <w:p w14:paraId="59DC311A">
      <w:pPr>
        <w:adjustRightInd w:val="0"/>
        <w:snapToGrid w:val="0"/>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（1）质保期内，中标人负责对其提供的设备上门进行维修。自接到用户报修后，2小时内响应，48小时内到达现场并解决问题。</w:t>
      </w:r>
    </w:p>
    <w:p w14:paraId="44F557C8">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（2）其他服务约定：</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w:t>
      </w:r>
    </w:p>
    <w:p w14:paraId="065721EB">
      <w:pPr>
        <w:spacing w:line="460" w:lineRule="exact"/>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bookmarkStart w:id="776" w:name="第十四条变更处理方法"/>
      <w:bookmarkStart w:id="777" w:name="第十六条质量保修"/>
      <w:r>
        <w:rPr>
          <w:rFonts w:hint="eastAsia" w:ascii="宋体" w:hAnsi="宋体" w:eastAsia="宋体" w:cs="宋体"/>
          <w:b/>
          <w:color w:val="000000" w:themeColor="text1"/>
          <w:sz w:val="21"/>
          <w:szCs w:val="21"/>
          <w:highlight w:val="none"/>
          <w14:textFill>
            <w14:solidFill>
              <w14:schemeClr w14:val="tx1"/>
            </w14:solidFill>
          </w14:textFill>
        </w:rPr>
        <w:t>第九条</w:t>
      </w:r>
      <w:bookmarkEnd w:id="776"/>
      <w:bookmarkStart w:id="778" w:name="_Hlt503692967"/>
      <w:bookmarkEnd w:id="778"/>
      <w:bookmarkStart w:id="779" w:name="_Hlt503692969"/>
      <w:bookmarkEnd w:id="779"/>
      <w:r>
        <w:rPr>
          <w:rFonts w:hint="eastAsia" w:ascii="宋体" w:hAnsi="宋体" w:eastAsia="宋体" w:cs="宋体"/>
          <w:b/>
          <w:color w:val="000000" w:themeColor="text1"/>
          <w:sz w:val="21"/>
          <w:szCs w:val="21"/>
          <w:highlight w:val="none"/>
          <w14:textFill>
            <w14:solidFill>
              <w14:schemeClr w14:val="tx1"/>
            </w14:solidFill>
          </w14:textFill>
        </w:rPr>
        <w:t xml:space="preserve"> 合同的变更与解除</w:t>
      </w:r>
    </w:p>
    <w:p w14:paraId="7D5D9EC8">
      <w:pPr>
        <w:tabs>
          <w:tab w:val="left" w:pos="0"/>
        </w:tabs>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1、合同履行中，如甲方要求变更或解除合同，则应于合同约定交货日3天之前以书面形式通知乙方。合同变更后需重新确定交货期，合同变更的事项双方需另签合同补充协议，并经双方签字盖章后生效。</w:t>
      </w:r>
    </w:p>
    <w:p w14:paraId="0A2A52B4">
      <w:pPr>
        <w:tabs>
          <w:tab w:val="left" w:pos="0"/>
        </w:tabs>
        <w:spacing w:line="46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2、甲、乙双方任何一方非依法定事由或约定解除合同的，须向另一方偿付合同总金额20％的违约金。</w:t>
      </w:r>
    </w:p>
    <w:bookmarkEnd w:id="777"/>
    <w:p w14:paraId="659428DA">
      <w:pPr>
        <w:spacing w:line="460" w:lineRule="exact"/>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第十条 违约责任</w:t>
      </w:r>
    </w:p>
    <w:p w14:paraId="4C42BCF5">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1、除本合同另有规定外，合同双方必须完全履行本合同，否则，应承担相应的违约责任。</w:t>
      </w:r>
    </w:p>
    <w:p w14:paraId="28EA654C">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乙方逾期供货或没按约定时间完成安装调试的，乙方每日应当按总货款1%的标准支付给甲方违约金；若此违约金不足以弥补甲方损失的，乙方应当按甲方损失的10%向甲方支付违约金。逾期交货或逾期安装超过15日的，甲方有权单方解除本协议，乙方应向甲方退还所有已收款项，并按总价款20%的标准向甲方支付违约金。</w:t>
      </w:r>
    </w:p>
    <w:p w14:paraId="7D495D25">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3、因为货物的包装、品种、型号、规格、数量等问题致使未通过交货清点的，视为乙方没有交货，因此造成逾期交货的，按照本合同上述逾期交货的有关约定执行。</w:t>
      </w:r>
    </w:p>
    <w:p w14:paraId="466FAEE4">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履约期间，甲方可以任意抽取产品由具备该类产品质量检测资格的相关部门进行质量鉴定，鉴定费用由乙方负责。如果检验质量达不到相关标准要求，甲方有权认为其相关产品均不合格。届时，乙方应当立即无偿换货并向甲方支付未通过验收部分产品价款的10％作为违约金，最终交货时间以换货产品交付并验收合格时间为准；乙方拒不换货或因为产品质量问题致使第二次没有通过验收的，甲方有权单方解除本协议，乙方应向甲方退还所有已收款项，并按总价款20%的标准向甲方支付违约金。</w:t>
      </w:r>
    </w:p>
    <w:p w14:paraId="664D3931">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5、乙方承担因为产品质量问题而给甲方造成的一切损失。</w:t>
      </w:r>
    </w:p>
    <w:p w14:paraId="370254BC">
      <w:pPr>
        <w:spacing w:line="460" w:lineRule="exact"/>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bookmarkStart w:id="780" w:name="_Hlt503676492"/>
      <w:bookmarkEnd w:id="780"/>
      <w:bookmarkStart w:id="781" w:name="_Hlt504196077"/>
      <w:bookmarkEnd w:id="781"/>
      <w:bookmarkStart w:id="782" w:name="第十七条纠纷争议处理方式"/>
      <w:r>
        <w:rPr>
          <w:rFonts w:hint="eastAsia" w:ascii="宋体" w:hAnsi="宋体" w:eastAsia="宋体" w:cs="宋体"/>
          <w:b/>
          <w:color w:val="000000" w:themeColor="text1"/>
          <w:sz w:val="21"/>
          <w:szCs w:val="21"/>
          <w:highlight w:val="none"/>
          <w14:textFill>
            <w14:solidFill>
              <w14:schemeClr w14:val="tx1"/>
            </w14:solidFill>
          </w14:textFill>
        </w:rPr>
        <w:t>第十一条  争议处理方式</w:t>
      </w:r>
      <w:bookmarkEnd w:id="782"/>
    </w:p>
    <w:p w14:paraId="7FEF401A">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bookmarkStart w:id="783" w:name="_Hlt504196186"/>
      <w:bookmarkEnd w:id="783"/>
      <w:bookmarkStart w:id="784" w:name="_Hlt503695519"/>
      <w:bookmarkEnd w:id="784"/>
      <w:r>
        <w:rPr>
          <w:rFonts w:hint="eastAsia" w:ascii="宋体" w:hAnsi="宋体" w:eastAsia="宋体" w:cs="宋体"/>
          <w:color w:val="000000" w:themeColor="text1"/>
          <w:sz w:val="21"/>
          <w:szCs w:val="21"/>
          <w:highlight w:val="none"/>
          <w14:textFill>
            <w14:solidFill>
              <w14:schemeClr w14:val="tx1"/>
            </w14:solidFill>
          </w14:textFill>
        </w:rPr>
        <w:t>凡因本合同引起的或与本合同有关的争议，双方应当协商解决。当调解不成时，可向甲方所在地人民法院起诉解决。</w:t>
      </w:r>
    </w:p>
    <w:p w14:paraId="4C31F699">
      <w:pPr>
        <w:tabs>
          <w:tab w:val="left" w:pos="360"/>
        </w:tabs>
        <w:spacing w:line="460" w:lineRule="exact"/>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第十二条   其他事项</w:t>
      </w:r>
    </w:p>
    <w:p w14:paraId="534D5E55">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1、本合同一式</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份，甲乙双方各执</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份，具有同等法律效力。</w:t>
      </w:r>
    </w:p>
    <w:p w14:paraId="6EE68BBB">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2、其他未尽事宜，双方协商解决。经合同双方协商后做出的补充协议，与本合同具有同等法律效力。</w:t>
      </w:r>
    </w:p>
    <w:p w14:paraId="4A9F9A6A">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3、本合同自双方签字、盖章之日起生效。</w:t>
      </w:r>
      <w:bookmarkStart w:id="785" w:name="_Hlt504197654"/>
      <w:bookmarkEnd w:id="785"/>
    </w:p>
    <w:p w14:paraId="76F1825F">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14:paraId="3113874C">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14:paraId="68B5AD32">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14:paraId="70B88160">
      <w:pPr>
        <w:spacing w:line="480" w:lineRule="auto"/>
        <w:ind w:firstLine="371" w:firstLineChars="177"/>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甲方：(公章)                         乙方：(公章)</w:t>
      </w:r>
    </w:p>
    <w:p w14:paraId="1559371A">
      <w:pPr>
        <w:spacing w:line="480" w:lineRule="auto"/>
        <w:ind w:firstLine="371" w:firstLineChars="177"/>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                         法定代表人或</w:t>
      </w:r>
    </w:p>
    <w:p w14:paraId="0BA5BBA0">
      <w:pPr>
        <w:spacing w:line="480" w:lineRule="auto"/>
        <w:ind w:firstLine="371" w:firstLineChars="177"/>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其委托代理人（签字）：                其委托代理人（签字）：</w:t>
      </w:r>
    </w:p>
    <w:p w14:paraId="220C618F">
      <w:pPr>
        <w:spacing w:line="480" w:lineRule="auto"/>
        <w:ind w:firstLine="371" w:firstLineChars="177"/>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地址：                               地址：</w:t>
      </w:r>
    </w:p>
    <w:p w14:paraId="1020C3AB">
      <w:pPr>
        <w:spacing w:line="480" w:lineRule="auto"/>
        <w:ind w:firstLine="371" w:firstLineChars="177"/>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                           联系电话： </w:t>
      </w:r>
    </w:p>
    <w:p w14:paraId="1F331971">
      <w:pPr>
        <w:widowControl/>
        <w:kinsoku w:val="0"/>
        <w:autoSpaceDE w:val="0"/>
        <w:autoSpaceDN w:val="0"/>
        <w:adjustRightInd w:val="0"/>
        <w:snapToGrid w:val="0"/>
        <w:ind w:firstLine="630" w:firstLineChars="300"/>
        <w:jc w:val="left"/>
        <w:textAlignment w:val="baseline"/>
        <w:rPr>
          <w:rFonts w:hint="eastAsia" w:ascii="宋体" w:hAnsi="宋体" w:eastAsia="宋体" w:cs="宋体"/>
          <w:color w:val="000000" w:themeColor="text1"/>
          <w:sz w:val="21"/>
          <w:szCs w:val="21"/>
          <w:highlight w:val="none"/>
          <w:lang w:val="en-US" w:eastAsia="zh-CN"/>
          <w14:textFill>
            <w14:solidFill>
              <w14:schemeClr w14:val="tx1"/>
            </w14:solidFill>
          </w14:textFill>
        </w:rPr>
        <w:sectPr>
          <w:pgSz w:w="11906" w:h="16838"/>
          <w:pgMar w:top="1134" w:right="1134" w:bottom="1418" w:left="1418" w:header="851" w:footer="992" w:gutter="0"/>
          <w:pgNumType w:fmt="decimal"/>
          <w:cols w:space="720" w:num="1"/>
          <w:docGrid w:linePitch="286" w:charSpace="0"/>
        </w:sectPr>
      </w:pPr>
      <w:r>
        <w:rPr>
          <w:rFonts w:hint="eastAsia" w:ascii="宋体" w:hAnsi="宋体" w:eastAsia="宋体" w:cs="宋体"/>
          <w:color w:val="000000" w:themeColor="text1"/>
          <w:sz w:val="21"/>
          <w:szCs w:val="21"/>
          <w:highlight w:val="none"/>
          <w14:textFill>
            <w14:solidFill>
              <w14:schemeClr w14:val="tx1"/>
            </w14:solidFill>
          </w14:textFill>
        </w:rPr>
        <w:t xml:space="preserve"> 年   月   日                             年  月   </w:t>
      </w:r>
      <w:r>
        <w:rPr>
          <w:rFonts w:hint="eastAsia" w:ascii="宋体" w:hAnsi="宋体" w:eastAsia="宋体" w:cs="宋体"/>
          <w:color w:val="000000" w:themeColor="text1"/>
          <w:sz w:val="21"/>
          <w:szCs w:val="21"/>
          <w:highlight w:val="none"/>
          <w:lang w:val="en-US" w:eastAsia="zh-CN"/>
          <w14:textFill>
            <w14:solidFill>
              <w14:schemeClr w14:val="tx1"/>
            </w14:solidFill>
          </w14:textFill>
        </w:rPr>
        <w:t>日</w:t>
      </w:r>
    </w:p>
    <w:p w14:paraId="7EEEB953">
      <w:pPr>
        <w:jc w:val="left"/>
        <w:rPr>
          <w:rFonts w:hint="eastAsia" w:ascii="宋体" w:hAnsi="宋体" w:eastAsia="宋体" w:cs="宋体"/>
          <w:b/>
          <w:color w:val="000000" w:themeColor="text1"/>
          <w:kern w:val="0"/>
          <w:sz w:val="32"/>
          <w:szCs w:val="20"/>
          <w:highlight w:val="none"/>
          <w14:textFill>
            <w14:solidFill>
              <w14:schemeClr w14:val="tx1"/>
            </w14:solidFill>
          </w14:textFill>
        </w:rPr>
      </w:pPr>
      <w:bookmarkStart w:id="786" w:name="_Toc13442"/>
      <w:bookmarkStart w:id="787" w:name="_Toc246996354"/>
      <w:bookmarkStart w:id="788" w:name="_Toc11416"/>
      <w:bookmarkStart w:id="789" w:name="_Toc9815"/>
      <w:bookmarkStart w:id="790" w:name="_Toc247085872"/>
      <w:bookmarkStart w:id="791" w:name="_Toc152045786"/>
      <w:bookmarkStart w:id="792" w:name="_Toc246997097"/>
      <w:bookmarkStart w:id="793" w:name="_Toc179632806"/>
      <w:bookmarkStart w:id="794" w:name="_Toc144974855"/>
      <w:bookmarkStart w:id="795" w:name="_Toc152042575"/>
    </w:p>
    <w:p w14:paraId="7727FE0A">
      <w:pPr>
        <w:pStyle w:val="3"/>
        <w:bidi w:val="0"/>
        <w:rPr>
          <w:rFonts w:hint="eastAsia"/>
          <w:color w:val="000000" w:themeColor="text1"/>
          <w14:textFill>
            <w14:solidFill>
              <w14:schemeClr w14:val="tx1"/>
            </w14:solidFill>
          </w14:textFill>
        </w:rPr>
      </w:pPr>
      <w:bookmarkStart w:id="796" w:name="_Toc135922580"/>
      <w:bookmarkStart w:id="797" w:name="_Toc21355"/>
      <w:bookmarkStart w:id="798" w:name="_Toc135648943"/>
      <w:r>
        <w:rPr>
          <w:rFonts w:hint="eastAsia"/>
          <w:color w:val="000000" w:themeColor="text1"/>
          <w14:textFill>
            <w14:solidFill>
              <w14:schemeClr w14:val="tx1"/>
            </w14:solidFill>
          </w14:textFill>
        </w:rPr>
        <w:t>第六章  投标文件格式</w:t>
      </w:r>
      <w:bookmarkEnd w:id="786"/>
      <w:bookmarkEnd w:id="787"/>
      <w:bookmarkEnd w:id="788"/>
      <w:bookmarkEnd w:id="789"/>
      <w:bookmarkEnd w:id="790"/>
      <w:bookmarkEnd w:id="791"/>
      <w:bookmarkEnd w:id="792"/>
      <w:bookmarkEnd w:id="793"/>
      <w:bookmarkEnd w:id="794"/>
      <w:bookmarkEnd w:id="795"/>
      <w:bookmarkEnd w:id="796"/>
      <w:bookmarkEnd w:id="797"/>
      <w:bookmarkEnd w:id="798"/>
    </w:p>
    <w:p w14:paraId="1BDB5F3F">
      <w:pPr>
        <w:spacing w:line="360" w:lineRule="auto"/>
        <w:rPr>
          <w:rFonts w:hint="eastAsia" w:ascii="宋体" w:hAnsi="宋体" w:eastAsia="宋体" w:cs="宋体"/>
          <w:color w:val="000000" w:themeColor="text1"/>
          <w:sz w:val="20"/>
          <w:szCs w:val="20"/>
          <w:highlight w:val="none"/>
          <w14:textFill>
            <w14:solidFill>
              <w14:schemeClr w14:val="tx1"/>
            </w14:solidFill>
          </w14:textFill>
        </w:rPr>
      </w:pPr>
    </w:p>
    <w:p w14:paraId="11F6DA2B">
      <w:pPr>
        <w:jc w:val="center"/>
        <w:rPr>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t>___________（项目名称）</w:t>
      </w:r>
    </w:p>
    <w:p w14:paraId="17F0D155">
      <w:pP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p>
    <w:p w14:paraId="03B4D593">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18F4B4F9">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6FAE99B4">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586F6E17">
      <w:pP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p>
    <w:p w14:paraId="5337A18E">
      <w:pP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p>
    <w:p w14:paraId="3020584E">
      <w:pPr>
        <w:spacing w:line="360" w:lineRule="auto"/>
        <w:jc w:val="center"/>
        <w:rPr>
          <w:rFonts w:hint="eastAsia" w:ascii="宋体" w:hAnsi="宋体" w:eastAsia="宋体" w:cs="宋体"/>
          <w:b/>
          <w:color w:val="000000" w:themeColor="text1"/>
          <w:sz w:val="48"/>
          <w:szCs w:val="48"/>
          <w:highlight w:val="none"/>
          <w14:textFill>
            <w14:solidFill>
              <w14:schemeClr w14:val="tx1"/>
            </w14:solidFill>
          </w14:textFill>
        </w:rPr>
      </w:pPr>
      <w:r>
        <w:rPr>
          <w:rFonts w:hint="eastAsia" w:ascii="宋体" w:hAnsi="宋体" w:eastAsia="宋体" w:cs="宋体"/>
          <w:b/>
          <w:color w:val="000000" w:themeColor="text1"/>
          <w:sz w:val="48"/>
          <w:szCs w:val="48"/>
          <w:highlight w:val="none"/>
          <w14:textFill>
            <w14:solidFill>
              <w14:schemeClr w14:val="tx1"/>
            </w14:solidFill>
          </w14:textFill>
        </w:rPr>
        <w:t>投标文件</w:t>
      </w:r>
    </w:p>
    <w:p w14:paraId="568E9064">
      <w:pP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项目编号：</w:t>
      </w:r>
    </w:p>
    <w:p w14:paraId="18601186">
      <w:pPr>
        <w:spacing w:line="360" w:lineRule="auto"/>
        <w:jc w:val="center"/>
        <w:rPr>
          <w:rFonts w:hint="eastAsia" w:ascii="宋体" w:hAnsi="宋体" w:eastAsia="宋体" w:cs="宋体"/>
          <w:b/>
          <w:color w:val="000000" w:themeColor="text1"/>
          <w:szCs w:val="21"/>
          <w:highlight w:val="none"/>
          <w14:textFill>
            <w14:solidFill>
              <w14:schemeClr w14:val="tx1"/>
            </w14:solidFill>
          </w14:textFill>
        </w:rPr>
      </w:pPr>
    </w:p>
    <w:p w14:paraId="69E06B44">
      <w:pP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p>
    <w:p w14:paraId="5C8BBF0A">
      <w:pPr>
        <w:spacing w:line="360" w:lineRule="auto"/>
        <w:jc w:val="left"/>
        <w:rPr>
          <w:rFonts w:hint="eastAsia" w:ascii="宋体" w:hAnsi="宋体" w:eastAsia="宋体" w:cs="宋体"/>
          <w:b/>
          <w:color w:val="000000" w:themeColor="text1"/>
          <w:sz w:val="28"/>
          <w:szCs w:val="28"/>
          <w:highlight w:val="none"/>
          <w14:textFill>
            <w14:solidFill>
              <w14:schemeClr w14:val="tx1"/>
            </w14:solidFill>
          </w14:textFill>
        </w:rPr>
      </w:pPr>
    </w:p>
    <w:p w14:paraId="124E2294">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4929E5F3">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7F424BFF">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50CCC634">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25CFAD6B">
      <w:pPr>
        <w:rPr>
          <w:rFonts w:hint="eastAsia" w:ascii="宋体" w:hAnsi="宋体" w:eastAsia="宋体" w:cs="宋体"/>
          <w:color w:val="000000" w:themeColor="text1"/>
          <w:highlight w:val="none"/>
          <w14:textFill>
            <w14:solidFill>
              <w14:schemeClr w14:val="tx1"/>
            </w14:solidFill>
          </w14:textFill>
        </w:rPr>
      </w:pPr>
    </w:p>
    <w:p w14:paraId="2F3CB933">
      <w:pPr>
        <w:rPr>
          <w:rFonts w:hint="eastAsia" w:ascii="宋体" w:hAnsi="宋体" w:eastAsia="宋体" w:cs="宋体"/>
          <w:color w:val="000000" w:themeColor="text1"/>
          <w:highlight w:val="none"/>
          <w14:textFill>
            <w14:solidFill>
              <w14:schemeClr w14:val="tx1"/>
            </w14:solidFill>
          </w14:textFill>
        </w:rPr>
      </w:pPr>
    </w:p>
    <w:p w14:paraId="17EDA17B">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1A33859C">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00836949">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68264C3B">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77DDD158">
      <w:pPr>
        <w:spacing w:line="360" w:lineRule="auto"/>
        <w:ind w:firstLine="1120" w:firstLineChars="400"/>
        <w:jc w:val="both"/>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投标人：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（电子印章）</w:t>
      </w:r>
    </w:p>
    <w:p w14:paraId="7C6ADA83">
      <w:pPr>
        <w:spacing w:line="360" w:lineRule="auto"/>
        <w:ind w:firstLine="1120" w:firstLineChars="400"/>
        <w:jc w:val="both"/>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法定代表人或其委托代理人：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（电子印章）</w:t>
      </w:r>
    </w:p>
    <w:p w14:paraId="396E3F43">
      <w:pPr>
        <w:ind w:firstLine="1120" w:firstLineChars="4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日  期：</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年</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月</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日</w:t>
      </w:r>
    </w:p>
    <w:p w14:paraId="39A9FF77">
      <w:pPr>
        <w:ind w:firstLine="743" w:firstLineChars="354"/>
        <w:rPr>
          <w:rFonts w:hint="eastAsia" w:ascii="宋体" w:hAnsi="宋体" w:eastAsia="宋体" w:cs="宋体"/>
          <w:color w:val="000000" w:themeColor="text1"/>
          <w:szCs w:val="21"/>
          <w:highlight w:val="none"/>
          <w14:textFill>
            <w14:solidFill>
              <w14:schemeClr w14:val="tx1"/>
            </w14:solidFill>
          </w14:textFill>
        </w:rPr>
      </w:pPr>
    </w:p>
    <w:p w14:paraId="19DE5D18">
      <w:pPr>
        <w:rPr>
          <w:rFonts w:hint="eastAsia" w:ascii="宋体" w:hAnsi="宋体" w:eastAsia="宋体" w:cs="宋体"/>
          <w:color w:val="000000" w:themeColor="text1"/>
          <w:highlight w:val="none"/>
          <w14:textFill>
            <w14:solidFill>
              <w14:schemeClr w14:val="tx1"/>
            </w14:solidFill>
          </w14:textFill>
        </w:rPr>
      </w:pPr>
    </w:p>
    <w:p w14:paraId="2C070B2F">
      <w:pPr>
        <w:numPr>
          <w:ilvl w:val="0"/>
          <w:numId w:val="1"/>
        </w:numPr>
        <w:adjustRightInd w:val="0"/>
        <w:spacing w:before="240" w:after="60" w:line="420" w:lineRule="atLeast"/>
        <w:jc w:val="center"/>
        <w:outlineLvl w:val="0"/>
        <w:rPr>
          <w:rFonts w:hint="eastAsia" w:ascii="宋体" w:hAnsi="宋体" w:eastAsia="宋体" w:cs="宋体"/>
          <w:b/>
          <w:color w:val="000000" w:themeColor="text1"/>
          <w:kern w:val="0"/>
          <w:sz w:val="32"/>
          <w:szCs w:val="20"/>
          <w:highlight w:val="none"/>
          <w14:textFill>
            <w14:solidFill>
              <w14:schemeClr w14:val="tx1"/>
            </w14:solidFill>
          </w14:textFill>
        </w:rPr>
      </w:pPr>
      <w:bookmarkStart w:id="799" w:name="_Toc7339"/>
      <w:bookmarkStart w:id="800" w:name="_Toc246997099"/>
      <w:bookmarkStart w:id="801" w:name="_Toc21679"/>
      <w:bookmarkStart w:id="802" w:name="_Toc144974857"/>
      <w:bookmarkStart w:id="803" w:name="_Toc179632808"/>
      <w:bookmarkStart w:id="804" w:name="_Toc24195"/>
      <w:bookmarkStart w:id="805" w:name="_Toc247085874"/>
      <w:bookmarkStart w:id="806" w:name="_Toc135648944"/>
      <w:bookmarkStart w:id="807" w:name="_Toc135922581"/>
      <w:bookmarkStart w:id="808" w:name="_Toc152042577"/>
      <w:bookmarkStart w:id="809" w:name="_Toc152045788"/>
      <w:bookmarkStart w:id="810" w:name="_Toc445287836"/>
      <w:bookmarkStart w:id="811" w:name="_Toc246996356"/>
      <w:bookmarkStart w:id="812" w:name="_Toc17527"/>
      <w:r>
        <w:rPr>
          <w:rFonts w:hint="eastAsia" w:ascii="宋体" w:hAnsi="宋体" w:eastAsia="宋体" w:cs="宋体"/>
          <w:b/>
          <w:color w:val="000000" w:themeColor="text1"/>
          <w:kern w:val="0"/>
          <w:sz w:val="32"/>
          <w:szCs w:val="20"/>
          <w:highlight w:val="none"/>
          <w14:textFill>
            <w14:solidFill>
              <w14:schemeClr w14:val="tx1"/>
            </w14:solidFill>
          </w14:textFill>
        </w:rPr>
        <w:t>投标函及</w:t>
      </w:r>
      <w:bookmarkEnd w:id="799"/>
      <w:bookmarkEnd w:id="800"/>
      <w:bookmarkEnd w:id="801"/>
      <w:bookmarkEnd w:id="802"/>
      <w:bookmarkEnd w:id="803"/>
      <w:bookmarkEnd w:id="804"/>
      <w:bookmarkEnd w:id="805"/>
      <w:bookmarkEnd w:id="806"/>
      <w:bookmarkEnd w:id="807"/>
      <w:bookmarkEnd w:id="808"/>
      <w:bookmarkEnd w:id="809"/>
      <w:bookmarkEnd w:id="810"/>
      <w:bookmarkEnd w:id="811"/>
      <w:r>
        <w:rPr>
          <w:rFonts w:hint="eastAsia" w:ascii="宋体" w:hAnsi="宋体" w:eastAsia="宋体" w:cs="宋体"/>
          <w:b/>
          <w:color w:val="000000" w:themeColor="text1"/>
          <w:kern w:val="0"/>
          <w:sz w:val="32"/>
          <w:szCs w:val="20"/>
          <w:highlight w:val="none"/>
          <w14:textFill>
            <w14:solidFill>
              <w14:schemeClr w14:val="tx1"/>
            </w14:solidFill>
          </w14:textFill>
        </w:rPr>
        <w:t>投标函附录</w:t>
      </w:r>
      <w:bookmarkEnd w:id="812"/>
    </w:p>
    <w:p w14:paraId="74C12B9E">
      <w:pPr>
        <w:keepNext/>
        <w:keepLines/>
        <w:spacing w:before="280" w:after="290" w:line="374" w:lineRule="auto"/>
        <w:jc w:val="center"/>
        <w:outlineLvl w:val="3"/>
        <w:rPr>
          <w:rFonts w:hint="eastAsia" w:ascii="宋体" w:hAnsi="宋体" w:eastAsia="宋体" w:cs="宋体"/>
          <w:b/>
          <w:bCs/>
          <w:color w:val="000000" w:themeColor="text1"/>
          <w:kern w:val="0"/>
          <w:sz w:val="28"/>
          <w:szCs w:val="28"/>
          <w:highlight w:val="none"/>
          <w14:textFill>
            <w14:solidFill>
              <w14:schemeClr w14:val="tx1"/>
            </w14:solidFill>
          </w14:textFill>
        </w:rPr>
      </w:pPr>
      <w:bookmarkStart w:id="813" w:name="_Toc14619"/>
      <w:bookmarkStart w:id="814" w:name="_Toc144974858"/>
      <w:bookmarkStart w:id="815" w:name="_Toc135648945"/>
      <w:bookmarkStart w:id="816" w:name="_Toc19940"/>
      <w:bookmarkStart w:id="817" w:name="_Toc179632809"/>
      <w:bookmarkStart w:id="818" w:name="_Toc445287837"/>
      <w:bookmarkStart w:id="819" w:name="_Toc246997100"/>
      <w:bookmarkStart w:id="820" w:name="_Toc246996357"/>
      <w:bookmarkStart w:id="821" w:name="_Toc247085875"/>
      <w:bookmarkStart w:id="822" w:name="_Toc152045789"/>
      <w:bookmarkStart w:id="823" w:name="_Toc10124796"/>
      <w:bookmarkStart w:id="824" w:name="_Toc28089"/>
      <w:bookmarkStart w:id="825" w:name="_Toc152042578"/>
      <w:r>
        <w:rPr>
          <w:rFonts w:hint="eastAsia" w:ascii="宋体" w:hAnsi="宋体" w:eastAsia="宋体" w:cs="宋体"/>
          <w:b/>
          <w:bCs/>
          <w:color w:val="000000" w:themeColor="text1"/>
          <w:kern w:val="0"/>
          <w:sz w:val="28"/>
          <w:szCs w:val="28"/>
          <w:highlight w:val="none"/>
          <w14:textFill>
            <w14:solidFill>
              <w14:schemeClr w14:val="tx1"/>
            </w14:solidFill>
          </w14:textFill>
        </w:rPr>
        <w:t>（一）投标函</w:t>
      </w:r>
      <w:bookmarkEnd w:id="813"/>
      <w:bookmarkEnd w:id="814"/>
      <w:bookmarkEnd w:id="815"/>
      <w:bookmarkEnd w:id="816"/>
      <w:bookmarkEnd w:id="817"/>
      <w:bookmarkEnd w:id="818"/>
      <w:bookmarkEnd w:id="819"/>
      <w:bookmarkEnd w:id="820"/>
      <w:bookmarkEnd w:id="821"/>
      <w:bookmarkEnd w:id="822"/>
      <w:bookmarkEnd w:id="823"/>
      <w:bookmarkEnd w:id="824"/>
      <w:bookmarkEnd w:id="825"/>
    </w:p>
    <w:p w14:paraId="27BBBE57">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（采购人名称）：</w:t>
      </w:r>
    </w:p>
    <w:p w14:paraId="106E2CB1">
      <w:pPr>
        <w:spacing w:line="440" w:lineRule="exact"/>
        <w:rPr>
          <w:rFonts w:hint="eastAsia" w:ascii="宋体" w:hAnsi="宋体" w:eastAsia="宋体" w:cs="宋体"/>
          <w:color w:val="000000" w:themeColor="text1"/>
          <w:szCs w:val="21"/>
          <w:highlight w:val="none"/>
          <w14:textFill>
            <w14:solidFill>
              <w14:schemeClr w14:val="tx1"/>
            </w14:solidFill>
          </w14:textFill>
        </w:rPr>
      </w:pPr>
    </w:p>
    <w:p w14:paraId="6C84471C">
      <w:pPr>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1．我方已仔细研究了</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（项目名称）招标文件的全部内容，愿意以人民币（大写）</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元）的投标报价，按合同约定实施和完成该项目。</w:t>
      </w:r>
    </w:p>
    <w:p w14:paraId="589FD592">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2．如我方中标：</w:t>
      </w:r>
    </w:p>
    <w:p w14:paraId="1F214E5E">
      <w:pPr>
        <w:spacing w:line="360" w:lineRule="auto"/>
        <w:ind w:firstLine="718" w:firstLineChars="34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（1）我方承诺在收到中标通知书后，在中标通知书规定的期限内与你方签订合同。</w:t>
      </w:r>
    </w:p>
    <w:p w14:paraId="3AE026D9">
      <w:pPr>
        <w:spacing w:line="440" w:lineRule="exact"/>
        <w:ind w:firstLine="718" w:firstLineChars="34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（2）随同本投标函递交的</w:t>
      </w:r>
      <w:r>
        <w:rPr>
          <w:rFonts w:hint="eastAsia" w:ascii="宋体" w:hAnsi="宋体" w:eastAsia="宋体" w:cs="宋体"/>
          <w:color w:val="000000" w:themeColor="text1"/>
          <w:szCs w:val="21"/>
          <w:highlight w:val="none"/>
          <w:lang w:eastAsia="zh-CN"/>
          <w14:textFill>
            <w14:solidFill>
              <w14:schemeClr w14:val="tx1"/>
            </w14:solidFill>
          </w14:textFill>
        </w:rPr>
        <w:t>投标函附录</w:t>
      </w:r>
      <w:r>
        <w:rPr>
          <w:rFonts w:hint="eastAsia" w:ascii="宋体" w:hAnsi="宋体" w:eastAsia="宋体" w:cs="宋体"/>
          <w:color w:val="000000" w:themeColor="text1"/>
          <w:szCs w:val="21"/>
          <w:highlight w:val="none"/>
          <w14:textFill>
            <w14:solidFill>
              <w14:schemeClr w14:val="tx1"/>
            </w14:solidFill>
          </w14:textFill>
        </w:rPr>
        <w:t>属于合同文件的组成部分。</w:t>
      </w:r>
    </w:p>
    <w:p w14:paraId="0A59E7DB">
      <w:pPr>
        <w:spacing w:line="440" w:lineRule="exact"/>
        <w:ind w:firstLine="718" w:firstLineChars="34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（3）我方承诺按照招标文件规定向你方递交履约担保（如有）。</w:t>
      </w:r>
    </w:p>
    <w:p w14:paraId="276A1D76">
      <w:pPr>
        <w:spacing w:line="440" w:lineRule="exact"/>
        <w:ind w:firstLine="718" w:firstLineChars="34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（4）我方承诺在合同约定的期限内完成全部合同项目。</w:t>
      </w:r>
    </w:p>
    <w:p w14:paraId="4EA439DB">
      <w:pPr>
        <w:spacing w:line="48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（5）我方承诺将按照招标文件的具体规定向招标代理机构交纳招标代理服务费。</w:t>
      </w:r>
    </w:p>
    <w:p w14:paraId="3941F8B5">
      <w:pPr>
        <w:spacing w:line="44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4"/>
          <w:highlight w:val="none"/>
          <w14:textFill>
            <w14:solidFill>
              <w14:schemeClr w14:val="tx1"/>
            </w14:solidFill>
          </w14:textFill>
        </w:rPr>
        <w:t>我方在此声明，所递交的投标文件及有关资料内容完整、真实和准确。</w:t>
      </w:r>
    </w:p>
    <w:p w14:paraId="61563574">
      <w:pPr>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 我方完全响应招标文件要求的所有内容。</w:t>
      </w:r>
    </w:p>
    <w:p w14:paraId="10501AFA">
      <w:pPr>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（其他补充说明）。</w:t>
      </w:r>
    </w:p>
    <w:p w14:paraId="7DDC7808">
      <w:pPr>
        <w:spacing w:line="440" w:lineRule="exact"/>
        <w:rPr>
          <w:rFonts w:hint="eastAsia" w:ascii="宋体" w:hAnsi="宋体" w:eastAsia="宋体" w:cs="宋体"/>
          <w:color w:val="000000" w:themeColor="text1"/>
          <w:szCs w:val="21"/>
          <w:highlight w:val="none"/>
          <w14:textFill>
            <w14:solidFill>
              <w14:schemeClr w14:val="tx1"/>
            </w14:solidFill>
          </w14:textFill>
        </w:rPr>
      </w:pPr>
    </w:p>
    <w:p w14:paraId="778346B1">
      <w:pPr>
        <w:spacing w:line="440" w:lineRule="exact"/>
        <w:rPr>
          <w:rFonts w:hint="eastAsia" w:ascii="宋体" w:hAnsi="宋体" w:eastAsia="宋体" w:cs="宋体"/>
          <w:color w:val="000000" w:themeColor="text1"/>
          <w:szCs w:val="21"/>
          <w:highlight w:val="none"/>
          <w14:textFill>
            <w14:solidFill>
              <w14:schemeClr w14:val="tx1"/>
            </w14:solidFill>
          </w14:textFill>
        </w:rPr>
      </w:pPr>
    </w:p>
    <w:p w14:paraId="3E3B3410">
      <w:pPr>
        <w:spacing w:line="360" w:lineRule="auto"/>
        <w:ind w:firstLine="3675" w:firstLineChars="17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（电子印章）</w:t>
      </w:r>
    </w:p>
    <w:p w14:paraId="20962AB0">
      <w:pPr>
        <w:spacing w:line="360" w:lineRule="auto"/>
        <w:ind w:firstLine="3675" w:firstLineChars="17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法定代表人或其委托代理人：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（电子印章）</w:t>
      </w:r>
    </w:p>
    <w:p w14:paraId="702F6553">
      <w:pPr>
        <w:spacing w:line="360" w:lineRule="auto"/>
        <w:ind w:firstLine="3675" w:firstLineChars="17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联系电话：</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68D6B0CD">
      <w:pPr>
        <w:spacing w:line="360" w:lineRule="auto"/>
        <w:ind w:firstLine="3675" w:firstLineChars="17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日    期：</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p>
    <w:p w14:paraId="393EDEE3">
      <w:pPr>
        <w:spacing w:line="360" w:lineRule="auto"/>
        <w:ind w:firstLine="3675" w:firstLineChars="1750"/>
        <w:rPr>
          <w:rFonts w:hint="eastAsia" w:ascii="宋体" w:hAnsi="宋体" w:eastAsia="宋体" w:cs="宋体"/>
          <w:color w:val="000000" w:themeColor="text1"/>
          <w:szCs w:val="21"/>
          <w:highlight w:val="none"/>
          <w14:textFill>
            <w14:solidFill>
              <w14:schemeClr w14:val="tx1"/>
            </w14:solidFill>
          </w14:textFill>
        </w:rPr>
      </w:pPr>
    </w:p>
    <w:p w14:paraId="04E3A0F4">
      <w:pPr>
        <w:spacing w:line="360" w:lineRule="auto"/>
        <w:ind w:firstLine="3675" w:firstLineChars="1750"/>
        <w:rPr>
          <w:rFonts w:hint="eastAsia" w:ascii="宋体" w:hAnsi="宋体" w:eastAsia="宋体" w:cs="宋体"/>
          <w:color w:val="000000" w:themeColor="text1"/>
          <w:szCs w:val="21"/>
          <w:highlight w:val="none"/>
          <w14:textFill>
            <w14:solidFill>
              <w14:schemeClr w14:val="tx1"/>
            </w14:solidFill>
          </w14:textFill>
        </w:rPr>
      </w:pPr>
    </w:p>
    <w:p w14:paraId="2CB835E4">
      <w:pPr>
        <w:spacing w:line="360" w:lineRule="auto"/>
        <w:ind w:firstLine="3675" w:firstLineChars="1750"/>
        <w:rPr>
          <w:rFonts w:hint="eastAsia" w:ascii="宋体" w:hAnsi="宋体" w:eastAsia="宋体" w:cs="宋体"/>
          <w:color w:val="000000" w:themeColor="text1"/>
          <w:szCs w:val="21"/>
          <w:highlight w:val="none"/>
          <w14:textFill>
            <w14:solidFill>
              <w14:schemeClr w14:val="tx1"/>
            </w14:solidFill>
          </w14:textFill>
        </w:rPr>
      </w:pPr>
    </w:p>
    <w:p w14:paraId="3AE0425C">
      <w:pPr>
        <w:spacing w:line="360" w:lineRule="auto"/>
        <w:ind w:firstLine="3675" w:firstLineChars="1750"/>
        <w:rPr>
          <w:rFonts w:hint="eastAsia" w:ascii="宋体" w:hAnsi="宋体" w:eastAsia="宋体" w:cs="宋体"/>
          <w:color w:val="000000" w:themeColor="text1"/>
          <w:szCs w:val="21"/>
          <w:highlight w:val="none"/>
          <w14:textFill>
            <w14:solidFill>
              <w14:schemeClr w14:val="tx1"/>
            </w14:solidFill>
          </w14:textFill>
        </w:rPr>
      </w:pPr>
    </w:p>
    <w:p w14:paraId="7395B07C">
      <w:pPr>
        <w:spacing w:line="360" w:lineRule="auto"/>
        <w:ind w:firstLine="3675" w:firstLineChars="1750"/>
        <w:rPr>
          <w:rFonts w:hint="eastAsia" w:ascii="宋体" w:hAnsi="宋体" w:eastAsia="宋体" w:cs="宋体"/>
          <w:color w:val="000000" w:themeColor="text1"/>
          <w:szCs w:val="21"/>
          <w:highlight w:val="none"/>
          <w14:textFill>
            <w14:solidFill>
              <w14:schemeClr w14:val="tx1"/>
            </w14:solidFill>
          </w14:textFill>
        </w:rPr>
      </w:pPr>
    </w:p>
    <w:p w14:paraId="104C6E81">
      <w:pPr>
        <w:spacing w:line="360" w:lineRule="auto"/>
        <w:ind w:firstLine="3675" w:firstLineChars="1750"/>
        <w:rPr>
          <w:rFonts w:hint="eastAsia" w:ascii="宋体" w:hAnsi="宋体" w:eastAsia="宋体" w:cs="宋体"/>
          <w:color w:val="000000" w:themeColor="text1"/>
          <w:szCs w:val="21"/>
          <w:highlight w:val="none"/>
          <w14:textFill>
            <w14:solidFill>
              <w14:schemeClr w14:val="tx1"/>
            </w14:solidFill>
          </w14:textFill>
        </w:rPr>
      </w:pPr>
    </w:p>
    <w:p w14:paraId="42591335">
      <w:pPr>
        <w:spacing w:line="360" w:lineRule="auto"/>
        <w:ind w:firstLine="3675" w:firstLineChars="1750"/>
        <w:rPr>
          <w:rFonts w:hint="eastAsia" w:ascii="宋体" w:hAnsi="宋体" w:eastAsia="宋体" w:cs="宋体"/>
          <w:color w:val="000000" w:themeColor="text1"/>
          <w:szCs w:val="21"/>
          <w:highlight w:val="none"/>
          <w14:textFill>
            <w14:solidFill>
              <w14:schemeClr w14:val="tx1"/>
            </w14:solidFill>
          </w14:textFill>
        </w:rPr>
      </w:pPr>
    </w:p>
    <w:p w14:paraId="179F0D9D">
      <w:pPr>
        <w:spacing w:line="360" w:lineRule="auto"/>
        <w:ind w:firstLine="3675" w:firstLineChars="1750"/>
        <w:rPr>
          <w:rFonts w:hint="eastAsia" w:ascii="宋体" w:hAnsi="宋体" w:eastAsia="宋体" w:cs="宋体"/>
          <w:color w:val="000000" w:themeColor="text1"/>
          <w:szCs w:val="21"/>
          <w:highlight w:val="none"/>
          <w14:textFill>
            <w14:solidFill>
              <w14:schemeClr w14:val="tx1"/>
            </w14:solidFill>
          </w14:textFill>
        </w:rPr>
      </w:pPr>
    </w:p>
    <w:p w14:paraId="453A3061">
      <w:pPr>
        <w:spacing w:line="360" w:lineRule="auto"/>
        <w:ind w:firstLine="3675" w:firstLineChars="1750"/>
        <w:rPr>
          <w:rFonts w:hint="eastAsia" w:ascii="宋体" w:hAnsi="宋体" w:eastAsia="宋体" w:cs="宋体"/>
          <w:color w:val="000000" w:themeColor="text1"/>
          <w:highlight w:val="none"/>
          <w14:textFill>
            <w14:solidFill>
              <w14:schemeClr w14:val="tx1"/>
            </w14:solidFill>
          </w14:textFill>
        </w:rPr>
      </w:pPr>
    </w:p>
    <w:p w14:paraId="19529580">
      <w:pPr>
        <w:keepNext/>
        <w:keepLines/>
        <w:spacing w:before="280" w:after="290" w:line="374" w:lineRule="auto"/>
        <w:jc w:val="center"/>
        <w:outlineLvl w:val="3"/>
        <w:rPr>
          <w:rFonts w:hint="eastAsia" w:ascii="宋体" w:hAnsi="宋体" w:eastAsia="宋体" w:cs="宋体"/>
          <w:b/>
          <w:bCs/>
          <w:color w:val="000000" w:themeColor="text1"/>
          <w:kern w:val="0"/>
          <w:sz w:val="28"/>
          <w:szCs w:val="28"/>
          <w:highlight w:val="none"/>
          <w14:textFill>
            <w14:solidFill>
              <w14:schemeClr w14:val="tx1"/>
            </w14:solidFill>
          </w14:textFill>
        </w:rPr>
      </w:pPr>
      <w:bookmarkStart w:id="826" w:name="_Toc247085876"/>
      <w:bookmarkStart w:id="827" w:name="_Toc445287838"/>
      <w:bookmarkStart w:id="828" w:name="_Toc4764"/>
      <w:bookmarkStart w:id="829" w:name="_Toc27203"/>
      <w:bookmarkStart w:id="830" w:name="_Toc246997101"/>
      <w:bookmarkStart w:id="831" w:name="_Toc246996358"/>
      <w:bookmarkStart w:id="832" w:name="_Toc144974859"/>
      <w:bookmarkStart w:id="833" w:name="_Toc152042579"/>
      <w:bookmarkStart w:id="834" w:name="_Toc152045790"/>
      <w:bookmarkStart w:id="835" w:name="_Toc179632810"/>
      <w:bookmarkStart w:id="836" w:name="_Toc9792"/>
      <w:bookmarkStart w:id="837" w:name="_Toc135648946"/>
      <w:r>
        <w:rPr>
          <w:rFonts w:hint="eastAsia" w:ascii="宋体" w:hAnsi="宋体" w:eastAsia="宋体" w:cs="宋体"/>
          <w:b/>
          <w:bCs/>
          <w:color w:val="000000" w:themeColor="text1"/>
          <w:kern w:val="0"/>
          <w:sz w:val="28"/>
          <w:szCs w:val="28"/>
          <w:highlight w:val="none"/>
          <w14:textFill>
            <w14:solidFill>
              <w14:schemeClr w14:val="tx1"/>
            </w14:solidFill>
          </w14:textFill>
        </w:rPr>
        <w:t>（二）</w:t>
      </w:r>
      <w:bookmarkEnd w:id="826"/>
      <w:bookmarkEnd w:id="827"/>
      <w:bookmarkEnd w:id="828"/>
      <w:bookmarkEnd w:id="829"/>
      <w:bookmarkEnd w:id="830"/>
      <w:bookmarkEnd w:id="831"/>
      <w:bookmarkEnd w:id="832"/>
      <w:bookmarkEnd w:id="833"/>
      <w:bookmarkEnd w:id="834"/>
      <w:bookmarkEnd w:id="835"/>
      <w:bookmarkEnd w:id="836"/>
      <w:bookmarkEnd w:id="837"/>
      <w:r>
        <w:rPr>
          <w:rFonts w:hint="eastAsia" w:ascii="宋体" w:hAnsi="宋体" w:eastAsia="宋体" w:cs="宋体"/>
          <w:b/>
          <w:color w:val="000000" w:themeColor="text1"/>
          <w:kern w:val="0"/>
          <w:sz w:val="32"/>
          <w:szCs w:val="20"/>
          <w:highlight w:val="none"/>
          <w14:textFill>
            <w14:solidFill>
              <w14:schemeClr w14:val="tx1"/>
            </w14:solidFill>
          </w14:textFill>
        </w:rPr>
        <w:t>投标函附录</w:t>
      </w:r>
    </w:p>
    <w:tbl>
      <w:tblPr>
        <w:tblStyle w:val="18"/>
        <w:tblW w:w="0" w:type="auto"/>
        <w:jc w:val="center"/>
        <w:tblLayout w:type="fixed"/>
        <w:tblCellMar>
          <w:top w:w="0" w:type="dxa"/>
          <w:left w:w="108" w:type="dxa"/>
          <w:bottom w:w="0" w:type="dxa"/>
          <w:right w:w="108" w:type="dxa"/>
        </w:tblCellMar>
      </w:tblPr>
      <w:tblGrid>
        <w:gridCol w:w="828"/>
        <w:gridCol w:w="2525"/>
        <w:gridCol w:w="5051"/>
      </w:tblGrid>
      <w:tr w14:paraId="75762AFE">
        <w:tblPrEx>
          <w:tblCellMar>
            <w:top w:w="0" w:type="dxa"/>
            <w:left w:w="108" w:type="dxa"/>
            <w:bottom w:w="0" w:type="dxa"/>
            <w:right w:w="108" w:type="dxa"/>
          </w:tblCellMar>
        </w:tblPrEx>
        <w:trPr>
          <w:trHeight w:val="851" w:hRule="atLeast"/>
          <w:jc w:val="center"/>
        </w:trPr>
        <w:tc>
          <w:tcPr>
            <w:tcW w:w="828" w:type="dxa"/>
            <w:tcBorders>
              <w:top w:val="single" w:color="auto" w:sz="4" w:space="0"/>
              <w:left w:val="single" w:color="auto" w:sz="4" w:space="0"/>
              <w:bottom w:val="single" w:color="auto" w:sz="4" w:space="0"/>
              <w:right w:val="nil"/>
            </w:tcBorders>
            <w:noWrap w:val="0"/>
            <w:vAlign w:val="center"/>
          </w:tcPr>
          <w:p w14:paraId="1207A1C5">
            <w:pPr>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序号</w:t>
            </w:r>
          </w:p>
        </w:tc>
        <w:tc>
          <w:tcPr>
            <w:tcW w:w="2525" w:type="dxa"/>
            <w:tcBorders>
              <w:top w:val="single" w:color="auto" w:sz="6" w:space="0"/>
              <w:left w:val="single" w:color="auto" w:sz="6" w:space="0"/>
              <w:bottom w:val="single" w:color="auto" w:sz="6" w:space="0"/>
              <w:right w:val="single" w:color="auto" w:sz="6" w:space="0"/>
            </w:tcBorders>
            <w:noWrap w:val="0"/>
            <w:vAlign w:val="center"/>
          </w:tcPr>
          <w:p w14:paraId="3A9CABA8">
            <w:pPr>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项目名称</w:t>
            </w:r>
          </w:p>
        </w:tc>
        <w:tc>
          <w:tcPr>
            <w:tcW w:w="5051" w:type="dxa"/>
            <w:tcBorders>
              <w:top w:val="single" w:color="auto" w:sz="6" w:space="0"/>
              <w:left w:val="single" w:color="auto" w:sz="6" w:space="0"/>
              <w:bottom w:val="single" w:color="auto" w:sz="6" w:space="0"/>
              <w:right w:val="single" w:color="auto" w:sz="6" w:space="0"/>
            </w:tcBorders>
            <w:noWrap w:val="0"/>
            <w:vAlign w:val="center"/>
          </w:tcPr>
          <w:p w14:paraId="0EEF3927">
            <w:pPr>
              <w:jc w:val="center"/>
              <w:rPr>
                <w:rFonts w:hint="eastAsia" w:ascii="宋体" w:hAnsi="宋体" w:eastAsia="宋体" w:cs="宋体"/>
                <w:color w:val="000000" w:themeColor="text1"/>
                <w:szCs w:val="24"/>
                <w:highlight w:val="none"/>
                <w14:textFill>
                  <w14:solidFill>
                    <w14:schemeClr w14:val="tx1"/>
                  </w14:solidFill>
                </w14:textFill>
              </w:rPr>
            </w:pPr>
          </w:p>
        </w:tc>
      </w:tr>
      <w:tr w14:paraId="3CD348B9">
        <w:tblPrEx>
          <w:tblCellMar>
            <w:top w:w="0" w:type="dxa"/>
            <w:left w:w="108" w:type="dxa"/>
            <w:bottom w:w="0" w:type="dxa"/>
            <w:right w:w="108" w:type="dxa"/>
          </w:tblCellMar>
        </w:tblPrEx>
        <w:trPr>
          <w:trHeight w:val="851" w:hRule="atLeast"/>
          <w:jc w:val="center"/>
        </w:trPr>
        <w:tc>
          <w:tcPr>
            <w:tcW w:w="828" w:type="dxa"/>
            <w:tcBorders>
              <w:top w:val="single" w:color="auto" w:sz="4" w:space="0"/>
              <w:left w:val="single" w:color="auto" w:sz="4" w:space="0"/>
              <w:bottom w:val="single" w:color="auto" w:sz="4" w:space="0"/>
              <w:right w:val="nil"/>
            </w:tcBorders>
            <w:noWrap w:val="0"/>
            <w:vAlign w:val="center"/>
          </w:tcPr>
          <w:p w14:paraId="44F42ADF">
            <w:pPr>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w:t>
            </w:r>
          </w:p>
        </w:tc>
        <w:tc>
          <w:tcPr>
            <w:tcW w:w="2525" w:type="dxa"/>
            <w:tcBorders>
              <w:top w:val="single" w:color="auto" w:sz="6" w:space="0"/>
              <w:left w:val="single" w:color="auto" w:sz="6" w:space="0"/>
              <w:bottom w:val="single" w:color="auto" w:sz="6" w:space="0"/>
              <w:right w:val="single" w:color="auto" w:sz="6" w:space="0"/>
            </w:tcBorders>
            <w:noWrap w:val="0"/>
            <w:vAlign w:val="center"/>
          </w:tcPr>
          <w:p w14:paraId="4CFBB54D">
            <w:pPr>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投标人名称</w:t>
            </w:r>
          </w:p>
        </w:tc>
        <w:tc>
          <w:tcPr>
            <w:tcW w:w="5051" w:type="dxa"/>
            <w:tcBorders>
              <w:top w:val="single" w:color="auto" w:sz="6" w:space="0"/>
              <w:left w:val="single" w:color="auto" w:sz="6" w:space="0"/>
              <w:bottom w:val="single" w:color="auto" w:sz="6" w:space="0"/>
              <w:right w:val="single" w:color="auto" w:sz="6" w:space="0"/>
            </w:tcBorders>
            <w:noWrap w:val="0"/>
            <w:vAlign w:val="center"/>
          </w:tcPr>
          <w:p w14:paraId="0785362A">
            <w:pPr>
              <w:jc w:val="center"/>
              <w:rPr>
                <w:rFonts w:hint="eastAsia" w:ascii="宋体" w:hAnsi="宋体" w:eastAsia="宋体" w:cs="宋体"/>
                <w:color w:val="000000" w:themeColor="text1"/>
                <w:szCs w:val="24"/>
                <w:highlight w:val="none"/>
                <w14:textFill>
                  <w14:solidFill>
                    <w14:schemeClr w14:val="tx1"/>
                  </w14:solidFill>
                </w14:textFill>
              </w:rPr>
            </w:pPr>
          </w:p>
        </w:tc>
      </w:tr>
      <w:tr w14:paraId="3236799D">
        <w:tblPrEx>
          <w:tblCellMar>
            <w:top w:w="0" w:type="dxa"/>
            <w:left w:w="108" w:type="dxa"/>
            <w:bottom w:w="0" w:type="dxa"/>
            <w:right w:w="108" w:type="dxa"/>
          </w:tblCellMar>
        </w:tblPrEx>
        <w:trPr>
          <w:trHeight w:val="851" w:hRule="atLeast"/>
          <w:jc w:val="center"/>
        </w:trPr>
        <w:tc>
          <w:tcPr>
            <w:tcW w:w="828" w:type="dxa"/>
            <w:tcBorders>
              <w:top w:val="single" w:color="auto" w:sz="4" w:space="0"/>
              <w:left w:val="single" w:color="auto" w:sz="4" w:space="0"/>
              <w:bottom w:val="nil"/>
              <w:right w:val="nil"/>
            </w:tcBorders>
            <w:noWrap w:val="0"/>
            <w:vAlign w:val="center"/>
          </w:tcPr>
          <w:p w14:paraId="11475FC4">
            <w:pPr>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w:t>
            </w:r>
          </w:p>
        </w:tc>
        <w:tc>
          <w:tcPr>
            <w:tcW w:w="2525" w:type="dxa"/>
            <w:tcBorders>
              <w:top w:val="single" w:color="auto" w:sz="6" w:space="0"/>
              <w:left w:val="single" w:color="auto" w:sz="6" w:space="0"/>
              <w:bottom w:val="single" w:color="auto" w:sz="4" w:space="0"/>
              <w:right w:val="single" w:color="auto" w:sz="6" w:space="0"/>
            </w:tcBorders>
            <w:noWrap w:val="0"/>
            <w:vAlign w:val="center"/>
          </w:tcPr>
          <w:p w14:paraId="1E97ED6A">
            <w:pPr>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投标报价（人民币，元）</w:t>
            </w:r>
          </w:p>
        </w:tc>
        <w:tc>
          <w:tcPr>
            <w:tcW w:w="5051" w:type="dxa"/>
            <w:tcBorders>
              <w:top w:val="single" w:color="auto" w:sz="6" w:space="0"/>
              <w:left w:val="single" w:color="auto" w:sz="6" w:space="0"/>
              <w:bottom w:val="single" w:color="auto" w:sz="4" w:space="0"/>
              <w:right w:val="single" w:color="auto" w:sz="6" w:space="0"/>
            </w:tcBorders>
            <w:noWrap w:val="0"/>
            <w:vAlign w:val="center"/>
          </w:tcPr>
          <w:p w14:paraId="0D366360">
            <w:pP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小写：</w:t>
            </w:r>
          </w:p>
          <w:p w14:paraId="59C258C4">
            <w:pP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大写：</w:t>
            </w:r>
          </w:p>
        </w:tc>
      </w:tr>
      <w:tr w14:paraId="03C17284">
        <w:tblPrEx>
          <w:tblCellMar>
            <w:top w:w="0" w:type="dxa"/>
            <w:left w:w="108" w:type="dxa"/>
            <w:bottom w:w="0" w:type="dxa"/>
            <w:right w:w="108" w:type="dxa"/>
          </w:tblCellMar>
        </w:tblPrEx>
        <w:trPr>
          <w:trHeight w:val="851" w:hRule="atLeast"/>
          <w:jc w:val="center"/>
        </w:trPr>
        <w:tc>
          <w:tcPr>
            <w:tcW w:w="828" w:type="dxa"/>
            <w:tcBorders>
              <w:top w:val="single" w:color="auto" w:sz="4" w:space="0"/>
              <w:left w:val="single" w:color="auto" w:sz="4" w:space="0"/>
              <w:bottom w:val="single" w:color="auto" w:sz="4" w:space="0"/>
              <w:right w:val="nil"/>
            </w:tcBorders>
            <w:noWrap w:val="0"/>
            <w:vAlign w:val="center"/>
          </w:tcPr>
          <w:p w14:paraId="0ECAB797">
            <w:pPr>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w:t>
            </w:r>
          </w:p>
        </w:tc>
        <w:tc>
          <w:tcPr>
            <w:tcW w:w="2525" w:type="dxa"/>
            <w:tcBorders>
              <w:top w:val="single" w:color="auto" w:sz="4" w:space="0"/>
              <w:left w:val="single" w:color="auto" w:sz="6" w:space="0"/>
              <w:bottom w:val="single" w:color="auto" w:sz="4" w:space="0"/>
              <w:right w:val="single" w:color="auto" w:sz="6" w:space="0"/>
            </w:tcBorders>
            <w:noWrap w:val="0"/>
            <w:vAlign w:val="center"/>
          </w:tcPr>
          <w:p w14:paraId="64157D03">
            <w:pPr>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交货及安装地点</w:t>
            </w:r>
          </w:p>
        </w:tc>
        <w:tc>
          <w:tcPr>
            <w:tcW w:w="5051" w:type="dxa"/>
            <w:tcBorders>
              <w:top w:val="single" w:color="auto" w:sz="6" w:space="0"/>
              <w:left w:val="single" w:color="auto" w:sz="6" w:space="0"/>
              <w:bottom w:val="single" w:color="auto" w:sz="4" w:space="0"/>
              <w:right w:val="single" w:color="auto" w:sz="6" w:space="0"/>
            </w:tcBorders>
            <w:noWrap w:val="0"/>
            <w:vAlign w:val="center"/>
          </w:tcPr>
          <w:p w14:paraId="70F21293">
            <w:pPr>
              <w:jc w:val="center"/>
              <w:rPr>
                <w:rFonts w:hint="eastAsia" w:ascii="宋体" w:hAnsi="宋体" w:eastAsia="宋体" w:cs="宋体"/>
                <w:color w:val="000000" w:themeColor="text1"/>
                <w:szCs w:val="24"/>
                <w:highlight w:val="none"/>
                <w14:textFill>
                  <w14:solidFill>
                    <w14:schemeClr w14:val="tx1"/>
                  </w14:solidFill>
                </w14:textFill>
              </w:rPr>
            </w:pPr>
          </w:p>
        </w:tc>
      </w:tr>
      <w:tr w14:paraId="56597A18">
        <w:tblPrEx>
          <w:tblCellMar>
            <w:top w:w="0" w:type="dxa"/>
            <w:left w:w="108" w:type="dxa"/>
            <w:bottom w:w="0" w:type="dxa"/>
            <w:right w:w="108" w:type="dxa"/>
          </w:tblCellMar>
        </w:tblPrEx>
        <w:trPr>
          <w:trHeight w:val="851" w:hRule="atLeast"/>
          <w:jc w:val="center"/>
        </w:trPr>
        <w:tc>
          <w:tcPr>
            <w:tcW w:w="828" w:type="dxa"/>
            <w:tcBorders>
              <w:top w:val="single" w:color="auto" w:sz="4" w:space="0"/>
              <w:left w:val="single" w:color="auto" w:sz="4" w:space="0"/>
              <w:bottom w:val="single" w:color="auto" w:sz="4" w:space="0"/>
              <w:right w:val="nil"/>
            </w:tcBorders>
            <w:noWrap w:val="0"/>
            <w:vAlign w:val="center"/>
          </w:tcPr>
          <w:p w14:paraId="6E1588B7">
            <w:pPr>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4</w:t>
            </w:r>
          </w:p>
        </w:tc>
        <w:tc>
          <w:tcPr>
            <w:tcW w:w="2525" w:type="dxa"/>
            <w:tcBorders>
              <w:top w:val="single" w:color="auto" w:sz="4" w:space="0"/>
              <w:left w:val="single" w:color="auto" w:sz="6" w:space="0"/>
              <w:bottom w:val="single" w:color="auto" w:sz="4" w:space="0"/>
              <w:right w:val="single" w:color="auto" w:sz="6" w:space="0"/>
            </w:tcBorders>
            <w:noWrap w:val="0"/>
            <w:vAlign w:val="center"/>
          </w:tcPr>
          <w:p w14:paraId="4C3AC600">
            <w:pPr>
              <w:ind w:left="210" w:leftChars="10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交货</w:t>
            </w:r>
            <w:r>
              <w:rPr>
                <w:rFonts w:hint="eastAsia" w:ascii="宋体" w:hAnsi="宋体" w:eastAsia="宋体" w:cs="宋体"/>
                <w:color w:val="000000" w:themeColor="text1"/>
                <w:szCs w:val="21"/>
                <w:highlight w:val="none"/>
                <w:lang w:val="en-US" w:eastAsia="zh-CN"/>
                <w14:textFill>
                  <w14:solidFill>
                    <w14:schemeClr w14:val="tx1"/>
                  </w14:solidFill>
                </w14:textFill>
              </w:rPr>
              <w:t>及安装期</w:t>
            </w:r>
          </w:p>
        </w:tc>
        <w:tc>
          <w:tcPr>
            <w:tcW w:w="5051" w:type="dxa"/>
            <w:tcBorders>
              <w:top w:val="single" w:color="auto" w:sz="6" w:space="0"/>
              <w:left w:val="single" w:color="auto" w:sz="6" w:space="0"/>
              <w:bottom w:val="single" w:color="auto" w:sz="4" w:space="0"/>
              <w:right w:val="single" w:color="auto" w:sz="6" w:space="0"/>
            </w:tcBorders>
            <w:noWrap w:val="0"/>
            <w:vAlign w:val="center"/>
          </w:tcPr>
          <w:p w14:paraId="53391F6E">
            <w:pPr>
              <w:jc w:val="center"/>
              <w:rPr>
                <w:rFonts w:hint="eastAsia" w:ascii="宋体" w:hAnsi="宋体" w:eastAsia="宋体" w:cs="宋体"/>
                <w:color w:val="000000" w:themeColor="text1"/>
                <w:szCs w:val="24"/>
                <w:highlight w:val="none"/>
                <w14:textFill>
                  <w14:solidFill>
                    <w14:schemeClr w14:val="tx1"/>
                  </w14:solidFill>
                </w14:textFill>
              </w:rPr>
            </w:pPr>
          </w:p>
        </w:tc>
      </w:tr>
      <w:tr w14:paraId="4597352C">
        <w:tblPrEx>
          <w:tblCellMar>
            <w:top w:w="0" w:type="dxa"/>
            <w:left w:w="108" w:type="dxa"/>
            <w:bottom w:w="0" w:type="dxa"/>
            <w:right w:w="108" w:type="dxa"/>
          </w:tblCellMar>
        </w:tblPrEx>
        <w:trPr>
          <w:trHeight w:val="851" w:hRule="atLeast"/>
          <w:jc w:val="center"/>
        </w:trPr>
        <w:tc>
          <w:tcPr>
            <w:tcW w:w="828" w:type="dxa"/>
            <w:tcBorders>
              <w:top w:val="single" w:color="auto" w:sz="4" w:space="0"/>
              <w:left w:val="single" w:color="auto" w:sz="4" w:space="0"/>
              <w:bottom w:val="single" w:color="auto" w:sz="4" w:space="0"/>
              <w:right w:val="nil"/>
            </w:tcBorders>
            <w:noWrap w:val="0"/>
            <w:vAlign w:val="center"/>
          </w:tcPr>
          <w:p w14:paraId="0BE55664">
            <w:pPr>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5</w:t>
            </w:r>
          </w:p>
        </w:tc>
        <w:tc>
          <w:tcPr>
            <w:tcW w:w="2525" w:type="dxa"/>
            <w:tcBorders>
              <w:top w:val="single" w:color="auto" w:sz="4" w:space="0"/>
              <w:left w:val="single" w:color="auto" w:sz="6" w:space="0"/>
              <w:bottom w:val="single" w:color="auto" w:sz="4" w:space="0"/>
              <w:right w:val="single" w:color="auto" w:sz="6" w:space="0"/>
            </w:tcBorders>
            <w:noWrap w:val="0"/>
            <w:vAlign w:val="center"/>
          </w:tcPr>
          <w:p w14:paraId="3D8EF497">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质保期</w:t>
            </w:r>
          </w:p>
        </w:tc>
        <w:tc>
          <w:tcPr>
            <w:tcW w:w="5051" w:type="dxa"/>
            <w:tcBorders>
              <w:top w:val="single" w:color="auto" w:sz="6" w:space="0"/>
              <w:left w:val="single" w:color="auto" w:sz="6" w:space="0"/>
              <w:bottom w:val="single" w:color="auto" w:sz="4" w:space="0"/>
              <w:right w:val="single" w:color="auto" w:sz="6" w:space="0"/>
            </w:tcBorders>
            <w:noWrap w:val="0"/>
            <w:vAlign w:val="center"/>
          </w:tcPr>
          <w:p w14:paraId="12A6476B">
            <w:pPr>
              <w:jc w:val="center"/>
              <w:rPr>
                <w:rFonts w:hint="eastAsia" w:ascii="宋体" w:hAnsi="宋体" w:eastAsia="宋体" w:cs="宋体"/>
                <w:color w:val="000000" w:themeColor="text1"/>
                <w:szCs w:val="24"/>
                <w:highlight w:val="none"/>
                <w14:textFill>
                  <w14:solidFill>
                    <w14:schemeClr w14:val="tx1"/>
                  </w14:solidFill>
                </w14:textFill>
              </w:rPr>
            </w:pPr>
          </w:p>
        </w:tc>
      </w:tr>
      <w:tr w14:paraId="27452107">
        <w:tblPrEx>
          <w:tblCellMar>
            <w:top w:w="0" w:type="dxa"/>
            <w:left w:w="108" w:type="dxa"/>
            <w:bottom w:w="0" w:type="dxa"/>
            <w:right w:w="108" w:type="dxa"/>
          </w:tblCellMar>
        </w:tblPrEx>
        <w:trPr>
          <w:trHeight w:val="851" w:hRule="atLeast"/>
          <w:jc w:val="center"/>
        </w:trPr>
        <w:tc>
          <w:tcPr>
            <w:tcW w:w="828" w:type="dxa"/>
            <w:tcBorders>
              <w:top w:val="single" w:color="auto" w:sz="4" w:space="0"/>
              <w:left w:val="single" w:color="auto" w:sz="4" w:space="0"/>
              <w:bottom w:val="single" w:color="auto" w:sz="4" w:space="0"/>
              <w:right w:val="nil"/>
            </w:tcBorders>
            <w:noWrap w:val="0"/>
            <w:vAlign w:val="center"/>
          </w:tcPr>
          <w:p w14:paraId="291E6DEA">
            <w:pPr>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6</w:t>
            </w:r>
          </w:p>
        </w:tc>
        <w:tc>
          <w:tcPr>
            <w:tcW w:w="2525" w:type="dxa"/>
            <w:tcBorders>
              <w:top w:val="single" w:color="auto" w:sz="4" w:space="0"/>
              <w:left w:val="single" w:color="auto" w:sz="6" w:space="0"/>
              <w:bottom w:val="single" w:color="auto" w:sz="4" w:space="0"/>
              <w:right w:val="single" w:color="auto" w:sz="6" w:space="0"/>
            </w:tcBorders>
            <w:noWrap w:val="0"/>
            <w:vAlign w:val="center"/>
          </w:tcPr>
          <w:p w14:paraId="0B508899">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质量</w:t>
            </w:r>
          </w:p>
        </w:tc>
        <w:tc>
          <w:tcPr>
            <w:tcW w:w="5051" w:type="dxa"/>
            <w:tcBorders>
              <w:top w:val="single" w:color="auto" w:sz="6" w:space="0"/>
              <w:left w:val="single" w:color="auto" w:sz="6" w:space="0"/>
              <w:bottom w:val="single" w:color="auto" w:sz="4" w:space="0"/>
              <w:right w:val="single" w:color="auto" w:sz="6" w:space="0"/>
            </w:tcBorders>
            <w:noWrap w:val="0"/>
            <w:vAlign w:val="center"/>
          </w:tcPr>
          <w:p w14:paraId="53C430DB">
            <w:pPr>
              <w:jc w:val="center"/>
              <w:rPr>
                <w:rFonts w:hint="eastAsia" w:ascii="宋体" w:hAnsi="宋体" w:eastAsia="宋体" w:cs="宋体"/>
                <w:color w:val="000000" w:themeColor="text1"/>
                <w:szCs w:val="24"/>
                <w:highlight w:val="none"/>
                <w14:textFill>
                  <w14:solidFill>
                    <w14:schemeClr w14:val="tx1"/>
                  </w14:solidFill>
                </w14:textFill>
              </w:rPr>
            </w:pPr>
          </w:p>
        </w:tc>
      </w:tr>
      <w:tr w14:paraId="61EC6995">
        <w:tblPrEx>
          <w:tblCellMar>
            <w:top w:w="0" w:type="dxa"/>
            <w:left w:w="108" w:type="dxa"/>
            <w:bottom w:w="0" w:type="dxa"/>
            <w:right w:w="108" w:type="dxa"/>
          </w:tblCellMar>
        </w:tblPrEx>
        <w:trPr>
          <w:trHeight w:val="851" w:hRule="atLeast"/>
          <w:jc w:val="center"/>
        </w:trPr>
        <w:tc>
          <w:tcPr>
            <w:tcW w:w="828" w:type="dxa"/>
            <w:tcBorders>
              <w:top w:val="single" w:color="auto" w:sz="4" w:space="0"/>
              <w:left w:val="single" w:color="auto" w:sz="4" w:space="0"/>
              <w:bottom w:val="single" w:color="auto" w:sz="4" w:space="0"/>
              <w:right w:val="nil"/>
            </w:tcBorders>
            <w:noWrap w:val="0"/>
            <w:vAlign w:val="center"/>
          </w:tcPr>
          <w:p w14:paraId="7320DB30">
            <w:pPr>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7</w:t>
            </w:r>
          </w:p>
        </w:tc>
        <w:tc>
          <w:tcPr>
            <w:tcW w:w="2525" w:type="dxa"/>
            <w:tcBorders>
              <w:top w:val="single" w:color="auto" w:sz="4" w:space="0"/>
              <w:left w:val="single" w:color="auto" w:sz="6" w:space="0"/>
              <w:bottom w:val="single" w:color="auto" w:sz="4" w:space="0"/>
              <w:right w:val="single" w:color="auto" w:sz="6" w:space="0"/>
            </w:tcBorders>
            <w:noWrap w:val="0"/>
            <w:vAlign w:val="center"/>
          </w:tcPr>
          <w:p w14:paraId="16BFFA08">
            <w:pPr>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投标有效期</w:t>
            </w:r>
          </w:p>
        </w:tc>
        <w:tc>
          <w:tcPr>
            <w:tcW w:w="5051" w:type="dxa"/>
            <w:tcBorders>
              <w:top w:val="single" w:color="auto" w:sz="4" w:space="0"/>
              <w:left w:val="single" w:color="auto" w:sz="6" w:space="0"/>
              <w:bottom w:val="single" w:color="auto" w:sz="4" w:space="0"/>
              <w:right w:val="single" w:color="auto" w:sz="4" w:space="0"/>
            </w:tcBorders>
            <w:noWrap w:val="0"/>
            <w:vAlign w:val="center"/>
          </w:tcPr>
          <w:p w14:paraId="06B1F420">
            <w:pPr>
              <w:jc w:val="center"/>
              <w:rPr>
                <w:rFonts w:hint="eastAsia" w:ascii="宋体" w:hAnsi="宋体" w:eastAsia="宋体" w:cs="宋体"/>
                <w:color w:val="000000" w:themeColor="text1"/>
                <w:szCs w:val="24"/>
                <w:highlight w:val="none"/>
                <w14:textFill>
                  <w14:solidFill>
                    <w14:schemeClr w14:val="tx1"/>
                  </w14:solidFill>
                </w14:textFill>
              </w:rPr>
            </w:pPr>
          </w:p>
        </w:tc>
      </w:tr>
      <w:tr w14:paraId="5E068C5C">
        <w:tblPrEx>
          <w:tblCellMar>
            <w:top w:w="0" w:type="dxa"/>
            <w:left w:w="108" w:type="dxa"/>
            <w:bottom w:w="0" w:type="dxa"/>
            <w:right w:w="108" w:type="dxa"/>
          </w:tblCellMar>
        </w:tblPrEx>
        <w:trPr>
          <w:trHeight w:val="851" w:hRule="atLeast"/>
          <w:jc w:val="center"/>
        </w:trPr>
        <w:tc>
          <w:tcPr>
            <w:tcW w:w="828" w:type="dxa"/>
            <w:tcBorders>
              <w:top w:val="single" w:color="auto" w:sz="4" w:space="0"/>
              <w:left w:val="single" w:color="auto" w:sz="4" w:space="0"/>
              <w:bottom w:val="single" w:color="auto" w:sz="4" w:space="0"/>
              <w:right w:val="nil"/>
            </w:tcBorders>
            <w:noWrap w:val="0"/>
            <w:vAlign w:val="center"/>
          </w:tcPr>
          <w:p w14:paraId="2410E4B8">
            <w:pPr>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8</w:t>
            </w:r>
          </w:p>
        </w:tc>
        <w:tc>
          <w:tcPr>
            <w:tcW w:w="2525" w:type="dxa"/>
            <w:tcBorders>
              <w:top w:val="single" w:color="auto" w:sz="4" w:space="0"/>
              <w:left w:val="single" w:color="auto" w:sz="6" w:space="0"/>
              <w:bottom w:val="single" w:color="auto" w:sz="4" w:space="0"/>
              <w:right w:val="single" w:color="auto" w:sz="6" w:space="0"/>
            </w:tcBorders>
            <w:noWrap w:val="0"/>
            <w:vAlign w:val="center"/>
          </w:tcPr>
          <w:p w14:paraId="374971DA">
            <w:pPr>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备注</w:t>
            </w:r>
          </w:p>
        </w:tc>
        <w:tc>
          <w:tcPr>
            <w:tcW w:w="5051" w:type="dxa"/>
            <w:tcBorders>
              <w:top w:val="single" w:color="auto" w:sz="4" w:space="0"/>
              <w:left w:val="single" w:color="auto" w:sz="6" w:space="0"/>
              <w:bottom w:val="single" w:color="auto" w:sz="4" w:space="0"/>
              <w:right w:val="single" w:color="auto" w:sz="4" w:space="0"/>
            </w:tcBorders>
            <w:noWrap w:val="0"/>
            <w:vAlign w:val="center"/>
          </w:tcPr>
          <w:p w14:paraId="054D0252">
            <w:pPr>
              <w:jc w:val="center"/>
              <w:rPr>
                <w:rFonts w:hint="eastAsia" w:ascii="宋体" w:hAnsi="宋体" w:eastAsia="宋体" w:cs="宋体"/>
                <w:color w:val="000000" w:themeColor="text1"/>
                <w:szCs w:val="24"/>
                <w:highlight w:val="none"/>
                <w14:textFill>
                  <w14:solidFill>
                    <w14:schemeClr w14:val="tx1"/>
                  </w14:solidFill>
                </w14:textFill>
              </w:rPr>
            </w:pPr>
          </w:p>
        </w:tc>
      </w:tr>
    </w:tbl>
    <w:p w14:paraId="3A6C5B85">
      <w:pPr>
        <w:spacing w:line="440" w:lineRule="exact"/>
        <w:ind w:firstLine="3675" w:firstLineChars="1750"/>
        <w:rPr>
          <w:rFonts w:hint="eastAsia" w:ascii="宋体" w:hAnsi="宋体" w:eastAsia="宋体" w:cs="宋体"/>
          <w:color w:val="000000" w:themeColor="text1"/>
          <w:szCs w:val="21"/>
          <w:highlight w:val="none"/>
          <w14:textFill>
            <w14:solidFill>
              <w14:schemeClr w14:val="tx1"/>
            </w14:solidFill>
          </w14:textFill>
        </w:rPr>
      </w:pPr>
    </w:p>
    <w:p w14:paraId="52C7D99B">
      <w:pPr>
        <w:spacing w:line="440" w:lineRule="exact"/>
        <w:ind w:firstLine="3675" w:firstLineChars="1750"/>
        <w:rPr>
          <w:rFonts w:hint="eastAsia" w:ascii="宋体" w:hAnsi="宋体" w:eastAsia="宋体" w:cs="宋体"/>
          <w:color w:val="000000" w:themeColor="text1"/>
          <w:szCs w:val="21"/>
          <w:highlight w:val="none"/>
          <w14:textFill>
            <w14:solidFill>
              <w14:schemeClr w14:val="tx1"/>
            </w14:solidFill>
          </w14:textFill>
        </w:rPr>
      </w:pPr>
    </w:p>
    <w:p w14:paraId="6FC5AAEB">
      <w:pPr>
        <w:spacing w:line="440" w:lineRule="exact"/>
        <w:ind w:firstLine="3675" w:firstLineChars="17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 标 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（电子印章）</w:t>
      </w:r>
    </w:p>
    <w:p w14:paraId="3AA79717">
      <w:pPr>
        <w:spacing w:line="440" w:lineRule="exact"/>
        <w:ind w:firstLine="3683" w:firstLineChars="1754"/>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法定代表人或其委托代理人：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（电子印章）</w:t>
      </w:r>
    </w:p>
    <w:p w14:paraId="60F67B59">
      <w:pPr>
        <w:spacing w:line="440" w:lineRule="exact"/>
        <w:ind w:firstLine="3683" w:firstLineChars="1754"/>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日期：</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p>
    <w:p w14:paraId="2B049410">
      <w:pPr>
        <w:spacing w:line="440" w:lineRule="exact"/>
        <w:jc w:val="left"/>
        <w:rPr>
          <w:rFonts w:hint="eastAsia" w:ascii="宋体" w:hAnsi="宋体" w:eastAsia="宋体" w:cs="宋体"/>
          <w:color w:val="000000" w:themeColor="text1"/>
          <w:szCs w:val="21"/>
          <w:highlight w:val="none"/>
          <w14:textFill>
            <w14:solidFill>
              <w14:schemeClr w14:val="tx1"/>
            </w14:solidFill>
          </w14:textFill>
        </w:rPr>
      </w:pPr>
    </w:p>
    <w:p w14:paraId="69ECE7EB">
      <w:pPr>
        <w:spacing w:line="440" w:lineRule="exact"/>
        <w:jc w:val="left"/>
        <w:rPr>
          <w:rFonts w:hint="eastAsia" w:ascii="宋体" w:hAnsi="宋体" w:eastAsia="宋体" w:cs="宋体"/>
          <w:color w:val="000000" w:themeColor="text1"/>
          <w:szCs w:val="21"/>
          <w:highlight w:val="none"/>
          <w14:textFill>
            <w14:solidFill>
              <w14:schemeClr w14:val="tx1"/>
            </w14:solidFill>
          </w14:textFill>
        </w:rPr>
      </w:pPr>
    </w:p>
    <w:p w14:paraId="61DB4F40">
      <w:pPr>
        <w:spacing w:line="440" w:lineRule="exact"/>
        <w:jc w:val="left"/>
        <w:rPr>
          <w:rFonts w:hint="eastAsia" w:ascii="宋体" w:hAnsi="宋体" w:eastAsia="宋体" w:cs="宋体"/>
          <w:color w:val="000000" w:themeColor="text1"/>
          <w:szCs w:val="21"/>
          <w:highlight w:val="none"/>
          <w14:textFill>
            <w14:solidFill>
              <w14:schemeClr w14:val="tx1"/>
            </w14:solidFill>
          </w14:textFill>
        </w:rPr>
      </w:pPr>
    </w:p>
    <w:p w14:paraId="4DFD4D62">
      <w:pPr>
        <w:spacing w:line="440" w:lineRule="exact"/>
        <w:jc w:val="left"/>
        <w:rPr>
          <w:rFonts w:hint="eastAsia" w:ascii="宋体" w:hAnsi="宋体" w:eastAsia="宋体" w:cs="宋体"/>
          <w:color w:val="000000" w:themeColor="text1"/>
          <w:szCs w:val="21"/>
          <w:highlight w:val="none"/>
          <w14:textFill>
            <w14:solidFill>
              <w14:schemeClr w14:val="tx1"/>
            </w14:solidFill>
          </w14:textFill>
        </w:rPr>
      </w:pPr>
    </w:p>
    <w:p w14:paraId="494C4D8B">
      <w:pPr>
        <w:spacing w:line="440" w:lineRule="exact"/>
        <w:jc w:val="left"/>
        <w:rPr>
          <w:rFonts w:hint="eastAsia" w:ascii="宋体" w:hAnsi="宋体" w:eastAsia="宋体" w:cs="宋体"/>
          <w:color w:val="000000" w:themeColor="text1"/>
          <w:szCs w:val="21"/>
          <w:highlight w:val="none"/>
          <w14:textFill>
            <w14:solidFill>
              <w14:schemeClr w14:val="tx1"/>
            </w14:solidFill>
          </w14:textFill>
        </w:rPr>
      </w:pPr>
    </w:p>
    <w:p w14:paraId="7AD5B663">
      <w:pPr>
        <w:spacing w:line="440" w:lineRule="exact"/>
        <w:jc w:val="left"/>
        <w:rPr>
          <w:rFonts w:hint="eastAsia" w:ascii="宋体" w:hAnsi="宋体" w:eastAsia="宋体" w:cs="宋体"/>
          <w:color w:val="000000" w:themeColor="text1"/>
          <w:szCs w:val="21"/>
          <w:highlight w:val="none"/>
          <w14:textFill>
            <w14:solidFill>
              <w14:schemeClr w14:val="tx1"/>
            </w14:solidFill>
          </w14:textFill>
        </w:rPr>
      </w:pPr>
    </w:p>
    <w:p w14:paraId="2AFA74AE">
      <w:pPr>
        <w:spacing w:line="440" w:lineRule="exact"/>
        <w:jc w:val="left"/>
        <w:rPr>
          <w:rFonts w:hint="eastAsia" w:ascii="宋体" w:hAnsi="宋体" w:eastAsia="宋体" w:cs="宋体"/>
          <w:color w:val="000000" w:themeColor="text1"/>
          <w:szCs w:val="21"/>
          <w:highlight w:val="none"/>
          <w14:textFill>
            <w14:solidFill>
              <w14:schemeClr w14:val="tx1"/>
            </w14:solidFill>
          </w14:textFill>
        </w:rPr>
      </w:pPr>
    </w:p>
    <w:p w14:paraId="6ABF3EFD">
      <w:pPr>
        <w:adjustRightInd w:val="0"/>
        <w:spacing w:before="240" w:after="60" w:line="420" w:lineRule="atLeast"/>
        <w:jc w:val="center"/>
        <w:outlineLvl w:val="0"/>
        <w:rPr>
          <w:rFonts w:hint="eastAsia" w:ascii="宋体" w:hAnsi="宋体" w:eastAsia="宋体" w:cs="宋体"/>
          <w:b/>
          <w:color w:val="000000" w:themeColor="text1"/>
          <w:kern w:val="0"/>
          <w:sz w:val="32"/>
          <w:szCs w:val="20"/>
          <w:highlight w:val="none"/>
          <w14:textFill>
            <w14:solidFill>
              <w14:schemeClr w14:val="tx1"/>
            </w14:solidFill>
          </w14:textFill>
        </w:rPr>
      </w:pPr>
      <w:bookmarkStart w:id="838" w:name="_Toc7969"/>
      <w:bookmarkStart w:id="839" w:name="_Toc7701"/>
      <w:bookmarkStart w:id="840" w:name="_Toc144974860"/>
      <w:bookmarkStart w:id="841" w:name="_Toc246997102"/>
      <w:bookmarkStart w:id="842" w:name="_Toc152042580"/>
      <w:bookmarkStart w:id="843" w:name="_Toc32222"/>
      <w:bookmarkStart w:id="844" w:name="_Toc135648947"/>
      <w:bookmarkStart w:id="845" w:name="_Toc179632811"/>
      <w:bookmarkStart w:id="846" w:name="_Toc247085877"/>
      <w:bookmarkStart w:id="847" w:name="_Toc246996359"/>
      <w:bookmarkStart w:id="848" w:name="_Toc152045791"/>
      <w:bookmarkStart w:id="849" w:name="_Toc445287839"/>
      <w:bookmarkStart w:id="850" w:name="_Toc17274"/>
      <w:bookmarkStart w:id="851" w:name="_Toc135922582"/>
      <w:r>
        <w:rPr>
          <w:rFonts w:hint="eastAsia" w:ascii="宋体" w:hAnsi="宋体" w:eastAsia="宋体" w:cs="宋体"/>
          <w:b/>
          <w:color w:val="000000" w:themeColor="text1"/>
          <w:kern w:val="0"/>
          <w:sz w:val="32"/>
          <w:szCs w:val="20"/>
          <w:highlight w:val="none"/>
          <w14:textFill>
            <w14:solidFill>
              <w14:schemeClr w14:val="tx1"/>
            </w14:solidFill>
          </w14:textFill>
        </w:rPr>
        <w:t>二、</w:t>
      </w:r>
      <w:bookmarkEnd w:id="838"/>
      <w:bookmarkEnd w:id="839"/>
      <w:bookmarkEnd w:id="840"/>
      <w:bookmarkEnd w:id="841"/>
      <w:bookmarkEnd w:id="842"/>
      <w:bookmarkEnd w:id="843"/>
      <w:bookmarkEnd w:id="844"/>
      <w:bookmarkEnd w:id="845"/>
      <w:bookmarkEnd w:id="846"/>
      <w:bookmarkEnd w:id="847"/>
      <w:bookmarkEnd w:id="848"/>
      <w:bookmarkEnd w:id="849"/>
      <w:r>
        <w:rPr>
          <w:rFonts w:hint="eastAsia" w:ascii="宋体" w:hAnsi="宋体" w:eastAsia="宋体" w:cs="宋体"/>
          <w:b/>
          <w:color w:val="000000" w:themeColor="text1"/>
          <w:kern w:val="0"/>
          <w:sz w:val="32"/>
          <w:szCs w:val="20"/>
          <w:highlight w:val="none"/>
          <w14:textFill>
            <w14:solidFill>
              <w14:schemeClr w14:val="tx1"/>
            </w14:solidFill>
          </w14:textFill>
        </w:rPr>
        <w:t>法定代表人身份证明或附有法定代表人身份证明的授权委托书</w:t>
      </w:r>
      <w:bookmarkEnd w:id="850"/>
      <w:bookmarkEnd w:id="851"/>
    </w:p>
    <w:p w14:paraId="7EE92BFB">
      <w:pPr>
        <w:spacing w:line="440" w:lineRule="exact"/>
        <w:rPr>
          <w:rFonts w:hint="eastAsia" w:ascii="宋体" w:hAnsi="宋体" w:eastAsia="宋体" w:cs="宋体"/>
          <w:color w:val="000000" w:themeColor="text1"/>
          <w:szCs w:val="21"/>
          <w:highlight w:val="none"/>
          <w14:textFill>
            <w14:solidFill>
              <w14:schemeClr w14:val="tx1"/>
            </w14:solidFill>
          </w14:textFill>
        </w:rPr>
      </w:pPr>
    </w:p>
    <w:p w14:paraId="387DBFE6">
      <w:pPr>
        <w:spacing w:line="480" w:lineRule="auto"/>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（一）法定代表人身份证明</w:t>
      </w:r>
    </w:p>
    <w:p w14:paraId="0371BCF0">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投标人名称：</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05BD5287">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单位性质：</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047EB645">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地址：</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77094C9A">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成立时间：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p>
    <w:p w14:paraId="4F182551">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经营期限：</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069099B1">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姓名：</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性别：</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年龄：</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职务：</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1396B2F4">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系</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（投标人名称）的法定代表人。</w:t>
      </w:r>
    </w:p>
    <w:p w14:paraId="7EA8DB40">
      <w:pPr>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特此证明。</w:t>
      </w:r>
    </w:p>
    <w:p w14:paraId="39040311">
      <w:pPr>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附：法定代表人身份证原件扫描件或图片</w:t>
      </w:r>
    </w:p>
    <w:p w14:paraId="7065EA44">
      <w:pPr>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p>
    <w:p w14:paraId="599E4EED">
      <w:pPr>
        <w:spacing w:line="440" w:lineRule="exact"/>
        <w:rPr>
          <w:rFonts w:hint="eastAsia" w:ascii="宋体" w:hAnsi="宋体" w:eastAsia="宋体" w:cs="宋体"/>
          <w:color w:val="000000" w:themeColor="text1"/>
          <w:szCs w:val="21"/>
          <w:highlight w:val="none"/>
          <w14:textFill>
            <w14:solidFill>
              <w14:schemeClr w14:val="tx1"/>
            </w14:solidFill>
          </w14:textFill>
        </w:rPr>
      </w:pPr>
    </w:p>
    <w:p w14:paraId="1065130F">
      <w:pPr>
        <w:spacing w:line="440" w:lineRule="exact"/>
        <w:rPr>
          <w:rFonts w:hint="eastAsia" w:ascii="宋体" w:hAnsi="宋体" w:eastAsia="宋体" w:cs="宋体"/>
          <w:color w:val="000000" w:themeColor="text1"/>
          <w:szCs w:val="21"/>
          <w:highlight w:val="none"/>
          <w14:textFill>
            <w14:solidFill>
              <w14:schemeClr w14:val="tx1"/>
            </w14:solidFill>
          </w14:textFill>
        </w:rPr>
      </w:pPr>
    </w:p>
    <w:p w14:paraId="65750E6D">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投标人：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（电子印章）</w:t>
      </w:r>
    </w:p>
    <w:p w14:paraId="4EC3CAAB">
      <w:pPr>
        <w:spacing w:line="440" w:lineRule="exact"/>
        <w:ind w:firstLine="2797" w:firstLineChars="133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日 期：</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p>
    <w:p w14:paraId="31442B59">
      <w:pPr>
        <w:widowControl/>
        <w:jc w:val="left"/>
        <w:rPr>
          <w:rFonts w:hint="eastAsia" w:ascii="宋体" w:hAnsi="宋体" w:eastAsia="宋体" w:cs="宋体"/>
          <w:color w:val="000000" w:themeColor="text1"/>
          <w:szCs w:val="21"/>
          <w:highlight w:val="none"/>
          <w14:textFill>
            <w14:solidFill>
              <w14:schemeClr w14:val="tx1"/>
            </w14:solidFill>
          </w14:textFill>
        </w:rPr>
      </w:pPr>
    </w:p>
    <w:p w14:paraId="2DDE9D30">
      <w:pPr>
        <w:widowControl/>
        <w:jc w:val="left"/>
        <w:rPr>
          <w:rFonts w:hint="eastAsia" w:ascii="宋体" w:hAnsi="宋体" w:eastAsia="宋体" w:cs="宋体"/>
          <w:color w:val="000000" w:themeColor="text1"/>
          <w:szCs w:val="21"/>
          <w:highlight w:val="none"/>
          <w14:textFill>
            <w14:solidFill>
              <w14:schemeClr w14:val="tx1"/>
            </w14:solidFill>
          </w14:textFill>
        </w:rPr>
      </w:pPr>
    </w:p>
    <w:p w14:paraId="6F2ECEB7">
      <w:pPr>
        <w:widowControl/>
        <w:jc w:val="left"/>
        <w:rPr>
          <w:rFonts w:hint="eastAsia" w:ascii="宋体" w:hAnsi="宋体" w:eastAsia="宋体" w:cs="宋体"/>
          <w:color w:val="000000" w:themeColor="text1"/>
          <w:szCs w:val="21"/>
          <w:highlight w:val="none"/>
          <w14:textFill>
            <w14:solidFill>
              <w14:schemeClr w14:val="tx1"/>
            </w14:solidFill>
          </w14:textFill>
        </w:rPr>
      </w:pPr>
    </w:p>
    <w:p w14:paraId="741FE519">
      <w:pPr>
        <w:widowControl/>
        <w:jc w:val="left"/>
        <w:rPr>
          <w:rFonts w:hint="eastAsia" w:ascii="宋体" w:hAnsi="宋体" w:eastAsia="宋体" w:cs="宋体"/>
          <w:color w:val="000000" w:themeColor="text1"/>
          <w:szCs w:val="21"/>
          <w:highlight w:val="none"/>
          <w14:textFill>
            <w14:solidFill>
              <w14:schemeClr w14:val="tx1"/>
            </w14:solidFill>
          </w14:textFill>
        </w:rPr>
      </w:pPr>
    </w:p>
    <w:p w14:paraId="4C8905EA">
      <w:pPr>
        <w:widowControl/>
        <w:jc w:val="left"/>
        <w:rPr>
          <w:rFonts w:hint="eastAsia" w:ascii="宋体" w:hAnsi="宋体" w:eastAsia="宋体" w:cs="宋体"/>
          <w:color w:val="000000" w:themeColor="text1"/>
          <w:szCs w:val="21"/>
          <w:highlight w:val="none"/>
          <w14:textFill>
            <w14:solidFill>
              <w14:schemeClr w14:val="tx1"/>
            </w14:solidFill>
          </w14:textFill>
        </w:rPr>
      </w:pPr>
    </w:p>
    <w:p w14:paraId="7CC33D44">
      <w:pPr>
        <w:widowControl/>
        <w:jc w:val="left"/>
        <w:rPr>
          <w:rFonts w:hint="eastAsia" w:ascii="宋体" w:hAnsi="宋体" w:eastAsia="宋体" w:cs="宋体"/>
          <w:color w:val="000000" w:themeColor="text1"/>
          <w:szCs w:val="21"/>
          <w:highlight w:val="none"/>
          <w14:textFill>
            <w14:solidFill>
              <w14:schemeClr w14:val="tx1"/>
            </w14:solidFill>
          </w14:textFill>
        </w:rPr>
      </w:pPr>
    </w:p>
    <w:p w14:paraId="75D1A2AD">
      <w:pPr>
        <w:widowControl/>
        <w:jc w:val="left"/>
        <w:rPr>
          <w:rFonts w:hint="eastAsia" w:ascii="宋体" w:hAnsi="宋体" w:eastAsia="宋体" w:cs="宋体"/>
          <w:color w:val="000000" w:themeColor="text1"/>
          <w:szCs w:val="21"/>
          <w:highlight w:val="none"/>
          <w14:textFill>
            <w14:solidFill>
              <w14:schemeClr w14:val="tx1"/>
            </w14:solidFill>
          </w14:textFill>
        </w:rPr>
      </w:pPr>
    </w:p>
    <w:p w14:paraId="17CAE0E9">
      <w:pPr>
        <w:rPr>
          <w:rFonts w:hint="eastAsia" w:ascii="宋体" w:hAnsi="宋体" w:eastAsia="宋体" w:cs="宋体"/>
          <w:color w:val="000000" w:themeColor="text1"/>
          <w:highlight w:val="none"/>
          <w14:textFill>
            <w14:solidFill>
              <w14:schemeClr w14:val="tx1"/>
            </w14:solidFill>
          </w14:textFill>
        </w:rPr>
      </w:pPr>
    </w:p>
    <w:p w14:paraId="3F6E47F8">
      <w:pPr>
        <w:rPr>
          <w:rFonts w:hint="eastAsia" w:ascii="宋体" w:hAnsi="宋体" w:eastAsia="宋体" w:cs="宋体"/>
          <w:color w:val="000000" w:themeColor="text1"/>
          <w:highlight w:val="none"/>
          <w14:textFill>
            <w14:solidFill>
              <w14:schemeClr w14:val="tx1"/>
            </w14:solidFill>
          </w14:textFill>
        </w:rPr>
      </w:pPr>
    </w:p>
    <w:p w14:paraId="07948DBB">
      <w:pPr>
        <w:widowControl/>
        <w:jc w:val="left"/>
        <w:rPr>
          <w:rFonts w:hint="eastAsia" w:ascii="宋体" w:hAnsi="宋体" w:eastAsia="宋体" w:cs="宋体"/>
          <w:color w:val="000000" w:themeColor="text1"/>
          <w:szCs w:val="21"/>
          <w:highlight w:val="none"/>
          <w14:textFill>
            <w14:solidFill>
              <w14:schemeClr w14:val="tx1"/>
            </w14:solidFill>
          </w14:textFill>
        </w:rPr>
      </w:pPr>
    </w:p>
    <w:p w14:paraId="5EE5526E">
      <w:pPr>
        <w:widowControl/>
        <w:jc w:val="left"/>
        <w:rPr>
          <w:rFonts w:hint="eastAsia" w:ascii="宋体" w:hAnsi="宋体" w:eastAsia="宋体" w:cs="宋体"/>
          <w:color w:val="000000" w:themeColor="text1"/>
          <w:szCs w:val="21"/>
          <w:highlight w:val="none"/>
          <w14:textFill>
            <w14:solidFill>
              <w14:schemeClr w14:val="tx1"/>
            </w14:solidFill>
          </w14:textFill>
        </w:rPr>
      </w:pPr>
    </w:p>
    <w:p w14:paraId="7AE81CDE">
      <w:pPr>
        <w:widowControl/>
        <w:jc w:val="left"/>
        <w:rPr>
          <w:rFonts w:hint="eastAsia" w:ascii="宋体" w:hAnsi="宋体" w:eastAsia="宋体" w:cs="宋体"/>
          <w:color w:val="000000" w:themeColor="text1"/>
          <w:szCs w:val="21"/>
          <w:highlight w:val="none"/>
          <w14:textFill>
            <w14:solidFill>
              <w14:schemeClr w14:val="tx1"/>
            </w14:solidFill>
          </w14:textFill>
        </w:rPr>
      </w:pPr>
    </w:p>
    <w:p w14:paraId="43403BBE">
      <w:pPr>
        <w:widowControl/>
        <w:jc w:val="left"/>
        <w:rPr>
          <w:rFonts w:hint="eastAsia" w:ascii="宋体" w:hAnsi="宋体" w:eastAsia="宋体" w:cs="宋体"/>
          <w:color w:val="000000" w:themeColor="text1"/>
          <w:szCs w:val="21"/>
          <w:highlight w:val="none"/>
          <w14:textFill>
            <w14:solidFill>
              <w14:schemeClr w14:val="tx1"/>
            </w14:solidFill>
          </w14:textFill>
        </w:rPr>
      </w:pPr>
    </w:p>
    <w:p w14:paraId="3480216F">
      <w:pPr>
        <w:widowControl/>
        <w:jc w:val="left"/>
        <w:rPr>
          <w:rFonts w:hint="eastAsia" w:ascii="宋体" w:hAnsi="宋体" w:eastAsia="宋体" w:cs="宋体"/>
          <w:color w:val="000000" w:themeColor="text1"/>
          <w:szCs w:val="21"/>
          <w:highlight w:val="none"/>
          <w14:textFill>
            <w14:solidFill>
              <w14:schemeClr w14:val="tx1"/>
            </w14:solidFill>
          </w14:textFill>
        </w:rPr>
      </w:pPr>
    </w:p>
    <w:p w14:paraId="0F16739C">
      <w:pPr>
        <w:widowControl/>
        <w:jc w:val="left"/>
        <w:rPr>
          <w:rFonts w:hint="eastAsia" w:ascii="宋体" w:hAnsi="宋体" w:eastAsia="宋体" w:cs="宋体"/>
          <w:color w:val="000000" w:themeColor="text1"/>
          <w:szCs w:val="21"/>
          <w:highlight w:val="none"/>
          <w14:textFill>
            <w14:solidFill>
              <w14:schemeClr w14:val="tx1"/>
            </w14:solidFill>
          </w14:textFill>
        </w:rPr>
      </w:pPr>
    </w:p>
    <w:p w14:paraId="27B78E0A">
      <w:pPr>
        <w:widowControl/>
        <w:jc w:val="left"/>
        <w:rPr>
          <w:rFonts w:hint="eastAsia" w:ascii="宋体" w:hAnsi="宋体" w:eastAsia="宋体" w:cs="宋体"/>
          <w:color w:val="000000" w:themeColor="text1"/>
          <w:szCs w:val="21"/>
          <w:highlight w:val="none"/>
          <w14:textFill>
            <w14:solidFill>
              <w14:schemeClr w14:val="tx1"/>
            </w14:solidFill>
          </w14:textFill>
        </w:rPr>
      </w:pPr>
    </w:p>
    <w:p w14:paraId="5F328723">
      <w:pPr>
        <w:widowControl/>
        <w:jc w:val="left"/>
        <w:rPr>
          <w:rFonts w:hint="eastAsia" w:ascii="宋体" w:hAnsi="宋体" w:eastAsia="宋体" w:cs="宋体"/>
          <w:color w:val="000000" w:themeColor="text1"/>
          <w:szCs w:val="21"/>
          <w:highlight w:val="none"/>
          <w14:textFill>
            <w14:solidFill>
              <w14:schemeClr w14:val="tx1"/>
            </w14:solidFill>
          </w14:textFill>
        </w:rPr>
      </w:pPr>
    </w:p>
    <w:p w14:paraId="2469D339">
      <w:pPr>
        <w:widowControl/>
        <w:jc w:val="left"/>
        <w:rPr>
          <w:rFonts w:hint="eastAsia" w:ascii="宋体" w:hAnsi="宋体" w:eastAsia="宋体" w:cs="宋体"/>
          <w:color w:val="000000" w:themeColor="text1"/>
          <w:szCs w:val="21"/>
          <w:highlight w:val="none"/>
          <w14:textFill>
            <w14:solidFill>
              <w14:schemeClr w14:val="tx1"/>
            </w14:solidFill>
          </w14:textFill>
        </w:rPr>
      </w:pPr>
    </w:p>
    <w:p w14:paraId="366D1B0B">
      <w:pPr>
        <w:widowControl/>
        <w:jc w:val="left"/>
        <w:rPr>
          <w:rFonts w:hint="eastAsia" w:ascii="宋体" w:hAnsi="宋体" w:eastAsia="宋体" w:cs="宋体"/>
          <w:color w:val="000000" w:themeColor="text1"/>
          <w:szCs w:val="21"/>
          <w:highlight w:val="none"/>
          <w14:textFill>
            <w14:solidFill>
              <w14:schemeClr w14:val="tx1"/>
            </w14:solidFill>
          </w14:textFill>
        </w:rPr>
      </w:pPr>
    </w:p>
    <w:p w14:paraId="6C663414">
      <w:pPr>
        <w:widowControl/>
        <w:jc w:val="left"/>
        <w:rPr>
          <w:rFonts w:hint="eastAsia" w:ascii="宋体" w:hAnsi="宋体" w:eastAsia="宋体" w:cs="宋体"/>
          <w:color w:val="000000" w:themeColor="text1"/>
          <w:szCs w:val="21"/>
          <w:highlight w:val="none"/>
          <w14:textFill>
            <w14:solidFill>
              <w14:schemeClr w14:val="tx1"/>
            </w14:solidFill>
          </w14:textFill>
        </w:rPr>
      </w:pPr>
    </w:p>
    <w:p w14:paraId="2B886213">
      <w:pPr>
        <w:widowControl/>
        <w:jc w:val="left"/>
        <w:rPr>
          <w:rFonts w:hint="eastAsia" w:ascii="宋体" w:hAnsi="宋体" w:eastAsia="宋体" w:cs="宋体"/>
          <w:color w:val="000000" w:themeColor="text1"/>
          <w:highlight w:val="none"/>
          <w14:textFill>
            <w14:solidFill>
              <w14:schemeClr w14:val="tx1"/>
            </w14:solidFill>
          </w14:textFill>
        </w:rPr>
      </w:pPr>
    </w:p>
    <w:p w14:paraId="2A473231">
      <w:pPr>
        <w:rPr>
          <w:rFonts w:hint="eastAsia" w:ascii="宋体" w:hAnsi="宋体" w:eastAsia="宋体" w:cs="宋体"/>
          <w:color w:val="000000" w:themeColor="text1"/>
          <w:highlight w:val="none"/>
          <w14:textFill>
            <w14:solidFill>
              <w14:schemeClr w14:val="tx1"/>
            </w14:solidFill>
          </w14:textFill>
        </w:rPr>
      </w:pPr>
    </w:p>
    <w:p w14:paraId="54641C1C">
      <w:pPr>
        <w:spacing w:line="480" w:lineRule="auto"/>
        <w:rPr>
          <w:rFonts w:hint="eastAsia" w:ascii="宋体" w:hAnsi="宋体" w:eastAsia="宋体" w:cs="宋体"/>
          <w:b/>
          <w:color w:val="000000" w:themeColor="text1"/>
          <w:sz w:val="28"/>
          <w:szCs w:val="28"/>
          <w:highlight w:val="none"/>
          <w14:textFill>
            <w14:solidFill>
              <w14:schemeClr w14:val="tx1"/>
            </w14:solidFill>
          </w14:textFill>
        </w:rPr>
      </w:pPr>
      <w:bookmarkStart w:id="852" w:name="_Hlk48293187"/>
    </w:p>
    <w:p w14:paraId="5D3F2F7D">
      <w:pPr>
        <w:spacing w:line="480" w:lineRule="auto"/>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（二）法定代表人授权委托书</w:t>
      </w:r>
      <w:bookmarkEnd w:id="852"/>
      <w:r>
        <w:rPr>
          <w:rFonts w:hint="eastAsia" w:ascii="宋体" w:hAnsi="宋体" w:eastAsia="宋体" w:cs="宋体"/>
          <w:b/>
          <w:color w:val="000000" w:themeColor="text1"/>
          <w:sz w:val="28"/>
          <w:szCs w:val="28"/>
          <w:highlight w:val="none"/>
          <w14:textFill>
            <w14:solidFill>
              <w14:schemeClr w14:val="tx1"/>
            </w14:solidFill>
          </w14:textFill>
        </w:rPr>
        <w:t>（如有）</w:t>
      </w:r>
    </w:p>
    <w:p w14:paraId="07741441">
      <w:pPr>
        <w:topLinePunct/>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（姓名）系</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（投标人名称）的法定代表人，现委托</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（姓名）为我方代理人。代理人根据授权，以我方名义签署、澄清、说明、补正、递交、撤回、修改</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（项目名称）投标文件、签订合同和处理有关事宜，其法律后果由我方承担。              </w:t>
      </w:r>
    </w:p>
    <w:p w14:paraId="70806910">
      <w:pPr>
        <w:tabs>
          <w:tab w:val="left" w:pos="3560"/>
        </w:tabs>
        <w:autoSpaceDE w:val="0"/>
        <w:autoSpaceDN w:val="0"/>
        <w:adjustRightInd w:val="0"/>
        <w:spacing w:before="81" w:line="333" w:lineRule="exact"/>
        <w:ind w:left="100" w:right="-20" w:firstLine="325" w:firstLineChars="155"/>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position w:val="-4"/>
          <w:szCs w:val="21"/>
          <w:highlight w:val="none"/>
          <w14:textFill>
            <w14:solidFill>
              <w14:schemeClr w14:val="tx1"/>
            </w14:solidFill>
          </w14:textFill>
        </w:rPr>
        <w:t>委托</w:t>
      </w:r>
      <w:r>
        <w:rPr>
          <w:rFonts w:hint="eastAsia" w:ascii="宋体" w:hAnsi="宋体" w:eastAsia="宋体" w:cs="宋体"/>
          <w:color w:val="000000" w:themeColor="text1"/>
          <w:spacing w:val="-2"/>
          <w:kern w:val="0"/>
          <w:position w:val="-4"/>
          <w:szCs w:val="21"/>
          <w:highlight w:val="none"/>
          <w14:textFill>
            <w14:solidFill>
              <w14:schemeClr w14:val="tx1"/>
            </w14:solidFill>
          </w14:textFill>
        </w:rPr>
        <w:t>期</w:t>
      </w:r>
      <w:r>
        <w:rPr>
          <w:rFonts w:hint="eastAsia" w:ascii="宋体" w:hAnsi="宋体" w:eastAsia="宋体" w:cs="宋体"/>
          <w:color w:val="000000" w:themeColor="text1"/>
          <w:kern w:val="0"/>
          <w:position w:val="-4"/>
          <w:szCs w:val="21"/>
          <w:highlight w:val="none"/>
          <w14:textFill>
            <w14:solidFill>
              <w14:schemeClr w14:val="tx1"/>
            </w14:solidFill>
          </w14:textFill>
        </w:rPr>
        <w:t>限</w:t>
      </w:r>
      <w:r>
        <w:rPr>
          <w:rFonts w:hint="eastAsia" w:ascii="宋体" w:hAnsi="宋体" w:eastAsia="宋体" w:cs="宋体"/>
          <w:color w:val="000000" w:themeColor="text1"/>
          <w:spacing w:val="-3"/>
          <w:kern w:val="0"/>
          <w:position w:val="-4"/>
          <w:szCs w:val="21"/>
          <w:highlight w:val="none"/>
          <w14:textFill>
            <w14:solidFill>
              <w14:schemeClr w14:val="tx1"/>
            </w14:solidFill>
          </w14:textFill>
        </w:rPr>
        <w:t>：</w:t>
      </w:r>
      <w:r>
        <w:rPr>
          <w:rFonts w:hint="eastAsia" w:ascii="宋体" w:hAnsi="宋体" w:eastAsia="宋体" w:cs="宋体"/>
          <w:color w:val="000000" w:themeColor="text1"/>
          <w:spacing w:val="43"/>
          <w:kern w:val="0"/>
          <w:position w:val="-4"/>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position w:val="-4"/>
          <w:szCs w:val="21"/>
          <w:highlight w:val="none"/>
          <w:u w:val="single"/>
          <w14:textFill>
            <w14:solidFill>
              <w14:schemeClr w14:val="tx1"/>
            </w14:solidFill>
          </w14:textFill>
        </w:rPr>
        <w:tab/>
      </w:r>
      <w:r>
        <w:rPr>
          <w:rFonts w:hint="eastAsia" w:ascii="宋体" w:hAnsi="宋体" w:eastAsia="宋体" w:cs="宋体"/>
          <w:color w:val="000000" w:themeColor="text1"/>
          <w:kern w:val="0"/>
          <w:position w:val="-4"/>
          <w:szCs w:val="21"/>
          <w:highlight w:val="none"/>
          <w14:textFill>
            <w14:solidFill>
              <w14:schemeClr w14:val="tx1"/>
            </w14:solidFill>
          </w14:textFill>
        </w:rPr>
        <w:t>。</w:t>
      </w:r>
    </w:p>
    <w:p w14:paraId="678F6C19">
      <w:pPr>
        <w:spacing w:line="440" w:lineRule="exact"/>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代理人无转委托权。</w:t>
      </w:r>
    </w:p>
    <w:p w14:paraId="48F8311B">
      <w:pPr>
        <w:spacing w:line="440" w:lineRule="exact"/>
        <w:ind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附：法定代表人和委托代理人身份证原件扫描件或图片</w:t>
      </w:r>
    </w:p>
    <w:p w14:paraId="02A9C9AE">
      <w:pPr>
        <w:spacing w:line="440" w:lineRule="exact"/>
        <w:ind w:firstLine="210" w:firstLineChars="100"/>
        <w:rPr>
          <w:rFonts w:hint="eastAsia" w:ascii="宋体" w:hAnsi="宋体" w:eastAsia="宋体" w:cs="宋体"/>
          <w:color w:val="000000" w:themeColor="text1"/>
          <w:szCs w:val="21"/>
          <w:highlight w:val="none"/>
          <w14:textFill>
            <w14:solidFill>
              <w14:schemeClr w14:val="tx1"/>
            </w14:solidFill>
          </w14:textFill>
        </w:rPr>
      </w:pPr>
    </w:p>
    <w:p w14:paraId="02715D8C">
      <w:pPr>
        <w:spacing w:line="440" w:lineRule="exact"/>
        <w:ind w:firstLine="210" w:firstLineChars="100"/>
        <w:rPr>
          <w:rFonts w:hint="eastAsia" w:ascii="宋体" w:hAnsi="宋体" w:eastAsia="宋体" w:cs="宋体"/>
          <w:color w:val="000000" w:themeColor="text1"/>
          <w:szCs w:val="21"/>
          <w:highlight w:val="none"/>
          <w14:textFill>
            <w14:solidFill>
              <w14:schemeClr w14:val="tx1"/>
            </w14:solidFill>
          </w14:textFill>
        </w:rPr>
      </w:pPr>
    </w:p>
    <w:p w14:paraId="53F20442">
      <w:pPr>
        <w:spacing w:line="440" w:lineRule="exact"/>
        <w:ind w:firstLine="210" w:firstLineChars="100"/>
        <w:rPr>
          <w:rFonts w:hint="eastAsia" w:ascii="宋体" w:hAnsi="宋体" w:eastAsia="宋体" w:cs="宋体"/>
          <w:color w:val="000000" w:themeColor="text1"/>
          <w:szCs w:val="21"/>
          <w:highlight w:val="none"/>
          <w14:textFill>
            <w14:solidFill>
              <w14:schemeClr w14:val="tx1"/>
            </w14:solidFill>
          </w14:textFill>
        </w:rPr>
      </w:pPr>
    </w:p>
    <w:p w14:paraId="20B5AADA">
      <w:pPr>
        <w:spacing w:line="440" w:lineRule="exact"/>
        <w:rPr>
          <w:rFonts w:hint="eastAsia" w:ascii="宋体" w:hAnsi="宋体" w:eastAsia="宋体" w:cs="宋体"/>
          <w:color w:val="000000" w:themeColor="text1"/>
          <w:szCs w:val="21"/>
          <w:highlight w:val="none"/>
          <w14:textFill>
            <w14:solidFill>
              <w14:schemeClr w14:val="tx1"/>
            </w14:solidFill>
          </w14:textFill>
        </w:rPr>
      </w:pPr>
    </w:p>
    <w:p w14:paraId="63CDF332">
      <w:pPr>
        <w:spacing w:line="440" w:lineRule="exact"/>
        <w:ind w:firstLine="2125" w:firstLineChars="101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（电子印章）</w:t>
      </w:r>
    </w:p>
    <w:p w14:paraId="581B57FD">
      <w:pPr>
        <w:spacing w:line="440" w:lineRule="exact"/>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0EBB8A97">
      <w:pPr>
        <w:spacing w:line="440" w:lineRule="exact"/>
        <w:ind w:firstLine="2125" w:firstLineChars="101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法定代表人：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（电子印章）</w:t>
      </w:r>
    </w:p>
    <w:p w14:paraId="36BA1622">
      <w:pPr>
        <w:spacing w:line="440" w:lineRule="exact"/>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3C4DD587">
      <w:pPr>
        <w:spacing w:line="440" w:lineRule="exact"/>
        <w:ind w:firstLine="2125" w:firstLineChars="101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日期：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p>
    <w:p w14:paraId="2CBFD542">
      <w:pPr>
        <w:widowControl/>
        <w:jc w:val="left"/>
        <w:rPr>
          <w:rFonts w:hint="eastAsia" w:ascii="宋体" w:hAnsi="宋体" w:eastAsia="宋体" w:cs="宋体"/>
          <w:color w:val="000000" w:themeColor="text1"/>
          <w:szCs w:val="21"/>
          <w:highlight w:val="none"/>
          <w14:textFill>
            <w14:solidFill>
              <w14:schemeClr w14:val="tx1"/>
            </w14:solidFill>
          </w14:textFill>
        </w:rPr>
        <w:sectPr>
          <w:headerReference r:id="rId6" w:type="default"/>
          <w:footerReference r:id="rId7" w:type="default"/>
          <w:pgSz w:w="11906" w:h="16838"/>
          <w:pgMar w:top="1134" w:right="1134" w:bottom="1418" w:left="1418" w:header="851" w:footer="992" w:gutter="0"/>
          <w:pgNumType w:fmt="decimal"/>
          <w:cols w:space="720" w:num="1"/>
          <w:docGrid w:linePitch="286" w:charSpace="0"/>
        </w:sectPr>
      </w:pPr>
    </w:p>
    <w:p w14:paraId="1BCBF7F1">
      <w:pPr>
        <w:adjustRightInd w:val="0"/>
        <w:spacing w:before="240" w:after="60" w:line="420" w:lineRule="atLeast"/>
        <w:jc w:val="center"/>
        <w:outlineLvl w:val="0"/>
        <w:rPr>
          <w:rFonts w:hint="eastAsia" w:ascii="宋体" w:hAnsi="宋体" w:eastAsia="宋体" w:cs="宋体"/>
          <w:b/>
          <w:color w:val="000000" w:themeColor="text1"/>
          <w:kern w:val="0"/>
          <w:sz w:val="32"/>
          <w:szCs w:val="20"/>
          <w:highlight w:val="none"/>
          <w14:textFill>
            <w14:solidFill>
              <w14:schemeClr w14:val="tx1"/>
            </w14:solidFill>
          </w14:textFill>
        </w:rPr>
      </w:pPr>
      <w:bookmarkStart w:id="853" w:name="_Toc135648949"/>
      <w:bookmarkStart w:id="854" w:name="_Toc135922583"/>
      <w:bookmarkStart w:id="855" w:name="_Toc556"/>
      <w:r>
        <w:rPr>
          <w:rFonts w:hint="eastAsia" w:ascii="宋体" w:hAnsi="宋体" w:eastAsia="宋体" w:cs="宋体"/>
          <w:b/>
          <w:color w:val="000000" w:themeColor="text1"/>
          <w:kern w:val="0"/>
          <w:sz w:val="32"/>
          <w:szCs w:val="20"/>
          <w:highlight w:val="none"/>
          <w14:textFill>
            <w14:solidFill>
              <w14:schemeClr w14:val="tx1"/>
            </w14:solidFill>
          </w14:textFill>
        </w:rPr>
        <w:t>三、</w:t>
      </w:r>
      <w:bookmarkEnd w:id="853"/>
      <w:bookmarkEnd w:id="854"/>
      <w:r>
        <w:rPr>
          <w:rFonts w:hint="eastAsia" w:ascii="宋体" w:hAnsi="宋体" w:eastAsia="宋体" w:cs="宋体"/>
          <w:b/>
          <w:color w:val="000000" w:themeColor="text1"/>
          <w:kern w:val="0"/>
          <w:sz w:val="32"/>
          <w:szCs w:val="20"/>
          <w:highlight w:val="none"/>
          <w14:textFill>
            <w14:solidFill>
              <w14:schemeClr w14:val="tx1"/>
            </w14:solidFill>
          </w14:textFill>
        </w:rPr>
        <w:t>分项报价表</w:t>
      </w:r>
      <w:bookmarkEnd w:id="855"/>
    </w:p>
    <w:p w14:paraId="365A6985">
      <w:pPr>
        <w:rPr>
          <w:rFonts w:hint="eastAsia" w:ascii="宋体" w:hAnsi="宋体" w:eastAsia="宋体" w:cs="宋体"/>
          <w:color w:val="000000" w:themeColor="text1"/>
          <w:szCs w:val="21"/>
          <w:highlight w:val="none"/>
          <w14:textFill>
            <w14:solidFill>
              <w14:schemeClr w14:val="tx1"/>
            </w14:solidFill>
          </w14:textFill>
        </w:rPr>
      </w:pPr>
    </w:p>
    <w:tbl>
      <w:tblPr>
        <w:tblStyle w:val="18"/>
        <w:tblpPr w:leftFromText="180" w:rightFromText="180" w:vertAnchor="text" w:horzAnchor="page" w:tblpX="1650" w:tblpY="302"/>
        <w:tblOverlap w:val="never"/>
        <w:tblW w:w="9574"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Layout w:type="fixed"/>
        <w:tblCellMar>
          <w:top w:w="0" w:type="dxa"/>
          <w:left w:w="108" w:type="dxa"/>
          <w:bottom w:w="0" w:type="dxa"/>
          <w:right w:w="108" w:type="dxa"/>
        </w:tblCellMar>
      </w:tblPr>
      <w:tblGrid>
        <w:gridCol w:w="536"/>
        <w:gridCol w:w="883"/>
        <w:gridCol w:w="843"/>
        <w:gridCol w:w="993"/>
        <w:gridCol w:w="1257"/>
        <w:gridCol w:w="900"/>
        <w:gridCol w:w="850"/>
        <w:gridCol w:w="1325"/>
        <w:gridCol w:w="1288"/>
        <w:gridCol w:w="699"/>
      </w:tblGrid>
      <w:tr w14:paraId="401BD329">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899" w:hRule="atLeast"/>
        </w:trPr>
        <w:tc>
          <w:tcPr>
            <w:tcW w:w="536" w:type="dxa"/>
            <w:tcBorders>
              <w:top w:val="single" w:color="auto" w:sz="12" w:space="0"/>
            </w:tcBorders>
            <w:noWrap w:val="0"/>
            <w:vAlign w:val="center"/>
          </w:tcPr>
          <w:p w14:paraId="27709A78">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序号</w:t>
            </w:r>
          </w:p>
        </w:tc>
        <w:tc>
          <w:tcPr>
            <w:tcW w:w="883" w:type="dxa"/>
            <w:tcBorders>
              <w:top w:val="single" w:color="auto" w:sz="12" w:space="0"/>
            </w:tcBorders>
            <w:noWrap w:val="0"/>
            <w:vAlign w:val="center"/>
          </w:tcPr>
          <w:p w14:paraId="7644C29F">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产品</w:t>
            </w:r>
          </w:p>
          <w:p w14:paraId="5DA0326C">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名称</w:t>
            </w:r>
          </w:p>
        </w:tc>
        <w:tc>
          <w:tcPr>
            <w:tcW w:w="843" w:type="dxa"/>
            <w:tcBorders>
              <w:top w:val="single" w:color="auto" w:sz="12" w:space="0"/>
            </w:tcBorders>
            <w:noWrap w:val="0"/>
            <w:vAlign w:val="center"/>
          </w:tcPr>
          <w:p w14:paraId="54615F71">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品牌</w:t>
            </w:r>
          </w:p>
        </w:tc>
        <w:tc>
          <w:tcPr>
            <w:tcW w:w="993" w:type="dxa"/>
            <w:tcBorders>
              <w:top w:val="single" w:color="auto" w:sz="12" w:space="0"/>
            </w:tcBorders>
            <w:noWrap w:val="0"/>
            <w:vAlign w:val="center"/>
          </w:tcPr>
          <w:p w14:paraId="04DAD59E">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规格</w:t>
            </w:r>
          </w:p>
          <w:p w14:paraId="34B5135E">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型号</w:t>
            </w:r>
          </w:p>
        </w:tc>
        <w:tc>
          <w:tcPr>
            <w:tcW w:w="1257" w:type="dxa"/>
            <w:tcBorders>
              <w:top w:val="single" w:color="auto" w:sz="12" w:space="0"/>
            </w:tcBorders>
            <w:noWrap w:val="0"/>
            <w:vAlign w:val="center"/>
          </w:tcPr>
          <w:p w14:paraId="4EA246CC">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生产</w:t>
            </w:r>
          </w:p>
          <w:p w14:paraId="5CEA1B43">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厂家</w:t>
            </w:r>
          </w:p>
        </w:tc>
        <w:tc>
          <w:tcPr>
            <w:tcW w:w="900" w:type="dxa"/>
            <w:tcBorders>
              <w:top w:val="single" w:color="auto" w:sz="12" w:space="0"/>
            </w:tcBorders>
            <w:noWrap w:val="0"/>
            <w:vAlign w:val="center"/>
          </w:tcPr>
          <w:p w14:paraId="76D28265">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数量</w:t>
            </w:r>
          </w:p>
        </w:tc>
        <w:tc>
          <w:tcPr>
            <w:tcW w:w="850" w:type="dxa"/>
            <w:tcBorders>
              <w:top w:val="single" w:color="auto" w:sz="12" w:space="0"/>
            </w:tcBorders>
            <w:noWrap w:val="0"/>
            <w:vAlign w:val="center"/>
          </w:tcPr>
          <w:p w14:paraId="47FAECB8">
            <w:pPr>
              <w:snapToGrid w:val="0"/>
              <w:spacing w:line="400" w:lineRule="exact"/>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单位</w:t>
            </w:r>
          </w:p>
        </w:tc>
        <w:tc>
          <w:tcPr>
            <w:tcW w:w="1325" w:type="dxa"/>
            <w:tcBorders>
              <w:top w:val="single" w:color="auto" w:sz="12" w:space="0"/>
            </w:tcBorders>
            <w:noWrap w:val="0"/>
            <w:vAlign w:val="center"/>
          </w:tcPr>
          <w:p w14:paraId="30C3EA72">
            <w:pPr>
              <w:widowControl/>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单价（元）</w:t>
            </w:r>
          </w:p>
        </w:tc>
        <w:tc>
          <w:tcPr>
            <w:tcW w:w="1288" w:type="dxa"/>
            <w:tcBorders>
              <w:top w:val="single" w:color="auto" w:sz="12" w:space="0"/>
            </w:tcBorders>
            <w:noWrap w:val="0"/>
            <w:vAlign w:val="center"/>
          </w:tcPr>
          <w:p w14:paraId="4A92587F">
            <w:pPr>
              <w:widowControl/>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合价（元）</w:t>
            </w:r>
          </w:p>
        </w:tc>
        <w:tc>
          <w:tcPr>
            <w:tcW w:w="699" w:type="dxa"/>
            <w:tcBorders>
              <w:top w:val="single" w:color="auto" w:sz="12" w:space="0"/>
            </w:tcBorders>
            <w:noWrap w:val="0"/>
            <w:vAlign w:val="center"/>
          </w:tcPr>
          <w:p w14:paraId="23AC74F3">
            <w:pPr>
              <w:widowControl/>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备注</w:t>
            </w:r>
          </w:p>
        </w:tc>
      </w:tr>
      <w:tr w14:paraId="3F14F3EB">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739" w:hRule="atLeast"/>
        </w:trPr>
        <w:tc>
          <w:tcPr>
            <w:tcW w:w="536" w:type="dxa"/>
            <w:noWrap w:val="0"/>
            <w:vAlign w:val="center"/>
          </w:tcPr>
          <w:p w14:paraId="69A3778E">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w:t>
            </w:r>
          </w:p>
        </w:tc>
        <w:tc>
          <w:tcPr>
            <w:tcW w:w="883" w:type="dxa"/>
            <w:noWrap w:val="0"/>
            <w:vAlign w:val="center"/>
          </w:tcPr>
          <w:p w14:paraId="3D688DBD">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843" w:type="dxa"/>
            <w:noWrap w:val="0"/>
            <w:vAlign w:val="center"/>
          </w:tcPr>
          <w:p w14:paraId="32F023EF">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993" w:type="dxa"/>
            <w:noWrap w:val="0"/>
            <w:vAlign w:val="center"/>
          </w:tcPr>
          <w:p w14:paraId="3A7FB390">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1257" w:type="dxa"/>
            <w:noWrap w:val="0"/>
            <w:vAlign w:val="center"/>
          </w:tcPr>
          <w:p w14:paraId="1A9E905A">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900" w:type="dxa"/>
            <w:noWrap w:val="0"/>
            <w:vAlign w:val="center"/>
          </w:tcPr>
          <w:p w14:paraId="34F51BD0">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850" w:type="dxa"/>
            <w:noWrap w:val="0"/>
            <w:vAlign w:val="center"/>
          </w:tcPr>
          <w:p w14:paraId="72B31054">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325" w:type="dxa"/>
            <w:noWrap w:val="0"/>
            <w:vAlign w:val="center"/>
          </w:tcPr>
          <w:p w14:paraId="27DF4394">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288" w:type="dxa"/>
            <w:noWrap w:val="0"/>
            <w:vAlign w:val="center"/>
          </w:tcPr>
          <w:p w14:paraId="00A3AE05">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699" w:type="dxa"/>
            <w:noWrap w:val="0"/>
            <w:vAlign w:val="center"/>
          </w:tcPr>
          <w:p w14:paraId="152D7DC1">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r>
      <w:tr w14:paraId="23809F9C">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739" w:hRule="atLeast"/>
        </w:trPr>
        <w:tc>
          <w:tcPr>
            <w:tcW w:w="536" w:type="dxa"/>
            <w:noWrap w:val="0"/>
            <w:vAlign w:val="center"/>
          </w:tcPr>
          <w:p w14:paraId="0D9E0D88">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w:t>
            </w:r>
          </w:p>
        </w:tc>
        <w:tc>
          <w:tcPr>
            <w:tcW w:w="883" w:type="dxa"/>
            <w:noWrap w:val="0"/>
            <w:vAlign w:val="center"/>
          </w:tcPr>
          <w:p w14:paraId="7B15AEB8">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843" w:type="dxa"/>
            <w:noWrap w:val="0"/>
            <w:vAlign w:val="center"/>
          </w:tcPr>
          <w:p w14:paraId="7AB378C4">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993" w:type="dxa"/>
            <w:noWrap w:val="0"/>
            <w:vAlign w:val="center"/>
          </w:tcPr>
          <w:p w14:paraId="503284DF">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1257" w:type="dxa"/>
            <w:noWrap w:val="0"/>
            <w:vAlign w:val="center"/>
          </w:tcPr>
          <w:p w14:paraId="28829AF6">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900" w:type="dxa"/>
            <w:noWrap w:val="0"/>
            <w:vAlign w:val="center"/>
          </w:tcPr>
          <w:p w14:paraId="29AC0C92">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850" w:type="dxa"/>
            <w:noWrap w:val="0"/>
            <w:vAlign w:val="center"/>
          </w:tcPr>
          <w:p w14:paraId="1C6568A2">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325" w:type="dxa"/>
            <w:noWrap w:val="0"/>
            <w:vAlign w:val="center"/>
          </w:tcPr>
          <w:p w14:paraId="3CE4A6CC">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288" w:type="dxa"/>
            <w:noWrap w:val="0"/>
            <w:vAlign w:val="center"/>
          </w:tcPr>
          <w:p w14:paraId="05720B92">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699" w:type="dxa"/>
            <w:noWrap w:val="0"/>
            <w:vAlign w:val="center"/>
          </w:tcPr>
          <w:p w14:paraId="3DBFA37D">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r>
      <w:tr w14:paraId="79814BE1">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739" w:hRule="atLeast"/>
        </w:trPr>
        <w:tc>
          <w:tcPr>
            <w:tcW w:w="536" w:type="dxa"/>
            <w:noWrap w:val="0"/>
            <w:vAlign w:val="center"/>
          </w:tcPr>
          <w:p w14:paraId="25A2B209">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w:t>
            </w:r>
          </w:p>
        </w:tc>
        <w:tc>
          <w:tcPr>
            <w:tcW w:w="883" w:type="dxa"/>
            <w:noWrap w:val="0"/>
            <w:vAlign w:val="center"/>
          </w:tcPr>
          <w:p w14:paraId="1F59E16D">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843" w:type="dxa"/>
            <w:noWrap w:val="0"/>
            <w:vAlign w:val="center"/>
          </w:tcPr>
          <w:p w14:paraId="79D88203">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993" w:type="dxa"/>
            <w:noWrap w:val="0"/>
            <w:vAlign w:val="center"/>
          </w:tcPr>
          <w:p w14:paraId="6C8C4EAA">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1257" w:type="dxa"/>
            <w:noWrap w:val="0"/>
            <w:vAlign w:val="center"/>
          </w:tcPr>
          <w:p w14:paraId="6759CB4D">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900" w:type="dxa"/>
            <w:noWrap w:val="0"/>
            <w:vAlign w:val="center"/>
          </w:tcPr>
          <w:p w14:paraId="24EA1A13">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850" w:type="dxa"/>
            <w:noWrap w:val="0"/>
            <w:vAlign w:val="center"/>
          </w:tcPr>
          <w:p w14:paraId="13EF7A0B">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325" w:type="dxa"/>
            <w:noWrap w:val="0"/>
            <w:vAlign w:val="center"/>
          </w:tcPr>
          <w:p w14:paraId="514D4D2B">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288" w:type="dxa"/>
            <w:noWrap w:val="0"/>
            <w:vAlign w:val="center"/>
          </w:tcPr>
          <w:p w14:paraId="4629F035">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699" w:type="dxa"/>
            <w:noWrap w:val="0"/>
            <w:vAlign w:val="center"/>
          </w:tcPr>
          <w:p w14:paraId="5594E94A">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r>
      <w:tr w14:paraId="1F4BF505">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739" w:hRule="atLeast"/>
        </w:trPr>
        <w:tc>
          <w:tcPr>
            <w:tcW w:w="536" w:type="dxa"/>
            <w:noWrap w:val="0"/>
            <w:vAlign w:val="center"/>
          </w:tcPr>
          <w:p w14:paraId="59F0DBB9">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w:t>
            </w:r>
          </w:p>
        </w:tc>
        <w:tc>
          <w:tcPr>
            <w:tcW w:w="883" w:type="dxa"/>
            <w:noWrap w:val="0"/>
            <w:vAlign w:val="center"/>
          </w:tcPr>
          <w:p w14:paraId="459F2520">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843" w:type="dxa"/>
            <w:noWrap w:val="0"/>
            <w:vAlign w:val="center"/>
          </w:tcPr>
          <w:p w14:paraId="51D9FA74">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993" w:type="dxa"/>
            <w:noWrap w:val="0"/>
            <w:vAlign w:val="center"/>
          </w:tcPr>
          <w:p w14:paraId="45E3B618">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1257" w:type="dxa"/>
            <w:noWrap w:val="0"/>
            <w:vAlign w:val="center"/>
          </w:tcPr>
          <w:p w14:paraId="65D0E345">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900" w:type="dxa"/>
            <w:noWrap w:val="0"/>
            <w:vAlign w:val="center"/>
          </w:tcPr>
          <w:p w14:paraId="6E3574FA">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850" w:type="dxa"/>
            <w:noWrap w:val="0"/>
            <w:vAlign w:val="center"/>
          </w:tcPr>
          <w:p w14:paraId="724CCF2C">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325" w:type="dxa"/>
            <w:noWrap w:val="0"/>
            <w:vAlign w:val="center"/>
          </w:tcPr>
          <w:p w14:paraId="0767303A">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288" w:type="dxa"/>
            <w:noWrap w:val="0"/>
            <w:vAlign w:val="center"/>
          </w:tcPr>
          <w:p w14:paraId="7A8C7287">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699" w:type="dxa"/>
            <w:noWrap w:val="0"/>
            <w:vAlign w:val="center"/>
          </w:tcPr>
          <w:p w14:paraId="4909AA16">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r>
      <w:tr w14:paraId="66D326C7">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739" w:hRule="atLeast"/>
        </w:trPr>
        <w:tc>
          <w:tcPr>
            <w:tcW w:w="536" w:type="dxa"/>
            <w:noWrap w:val="0"/>
            <w:vAlign w:val="center"/>
          </w:tcPr>
          <w:p w14:paraId="143E9CE3">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5</w:t>
            </w:r>
          </w:p>
        </w:tc>
        <w:tc>
          <w:tcPr>
            <w:tcW w:w="883" w:type="dxa"/>
            <w:noWrap w:val="0"/>
            <w:vAlign w:val="center"/>
          </w:tcPr>
          <w:p w14:paraId="2D63C35F">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843" w:type="dxa"/>
            <w:noWrap w:val="0"/>
            <w:vAlign w:val="center"/>
          </w:tcPr>
          <w:p w14:paraId="4AE37B72">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993" w:type="dxa"/>
            <w:noWrap w:val="0"/>
            <w:vAlign w:val="center"/>
          </w:tcPr>
          <w:p w14:paraId="0B783B9B">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1257" w:type="dxa"/>
            <w:noWrap w:val="0"/>
            <w:vAlign w:val="center"/>
          </w:tcPr>
          <w:p w14:paraId="282B2022">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900" w:type="dxa"/>
            <w:noWrap w:val="0"/>
            <w:vAlign w:val="center"/>
          </w:tcPr>
          <w:p w14:paraId="262AE0A5">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850" w:type="dxa"/>
            <w:noWrap w:val="0"/>
            <w:vAlign w:val="center"/>
          </w:tcPr>
          <w:p w14:paraId="7C08AD83">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325" w:type="dxa"/>
            <w:noWrap w:val="0"/>
            <w:vAlign w:val="center"/>
          </w:tcPr>
          <w:p w14:paraId="1413C4F1">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288" w:type="dxa"/>
            <w:noWrap w:val="0"/>
            <w:vAlign w:val="center"/>
          </w:tcPr>
          <w:p w14:paraId="50FE17CD">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699" w:type="dxa"/>
            <w:noWrap w:val="0"/>
            <w:vAlign w:val="center"/>
          </w:tcPr>
          <w:p w14:paraId="37C2F913">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r>
      <w:tr w14:paraId="4149A766">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739" w:hRule="atLeast"/>
        </w:trPr>
        <w:tc>
          <w:tcPr>
            <w:tcW w:w="536" w:type="dxa"/>
            <w:noWrap w:val="0"/>
            <w:vAlign w:val="center"/>
          </w:tcPr>
          <w:p w14:paraId="7FE0472F">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w:t>
            </w:r>
          </w:p>
        </w:tc>
        <w:tc>
          <w:tcPr>
            <w:tcW w:w="883" w:type="dxa"/>
            <w:noWrap w:val="0"/>
            <w:vAlign w:val="center"/>
          </w:tcPr>
          <w:p w14:paraId="0EF70569">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843" w:type="dxa"/>
            <w:noWrap w:val="0"/>
            <w:vAlign w:val="center"/>
          </w:tcPr>
          <w:p w14:paraId="16DB2805">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993" w:type="dxa"/>
            <w:noWrap w:val="0"/>
            <w:vAlign w:val="center"/>
          </w:tcPr>
          <w:p w14:paraId="178368EC">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1257" w:type="dxa"/>
            <w:noWrap w:val="0"/>
            <w:vAlign w:val="center"/>
          </w:tcPr>
          <w:p w14:paraId="48B8CA18">
            <w:pPr>
              <w:spacing w:line="3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900" w:type="dxa"/>
            <w:noWrap w:val="0"/>
            <w:vAlign w:val="center"/>
          </w:tcPr>
          <w:p w14:paraId="39C56D97">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850" w:type="dxa"/>
            <w:noWrap w:val="0"/>
            <w:vAlign w:val="center"/>
          </w:tcPr>
          <w:p w14:paraId="79940A28">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325" w:type="dxa"/>
            <w:noWrap w:val="0"/>
            <w:vAlign w:val="center"/>
          </w:tcPr>
          <w:p w14:paraId="119DC05F">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288" w:type="dxa"/>
            <w:noWrap w:val="0"/>
            <w:vAlign w:val="center"/>
          </w:tcPr>
          <w:p w14:paraId="1C496025">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699" w:type="dxa"/>
            <w:noWrap w:val="0"/>
            <w:vAlign w:val="center"/>
          </w:tcPr>
          <w:p w14:paraId="5DCBB690">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r>
      <w:tr w14:paraId="2FA95AE0">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668" w:hRule="atLeast"/>
        </w:trPr>
        <w:tc>
          <w:tcPr>
            <w:tcW w:w="1419" w:type="dxa"/>
            <w:gridSpan w:val="2"/>
            <w:vMerge w:val="restart"/>
            <w:noWrap w:val="0"/>
            <w:vAlign w:val="center"/>
          </w:tcPr>
          <w:p w14:paraId="62ACE025">
            <w:pPr>
              <w:snapToGrid w:val="0"/>
              <w:spacing w:line="400" w:lineRule="exact"/>
              <w:rPr>
                <w:rFonts w:hint="eastAsia" w:ascii="宋体" w:hAnsi="宋体" w:eastAsia="宋体" w:cs="宋体"/>
                <w:color w:val="000000" w:themeColor="text1"/>
                <w:kern w:val="0"/>
                <w:szCs w:val="21"/>
                <w:highlight w:val="none"/>
                <w14:textFill>
                  <w14:solidFill>
                    <w14:schemeClr w14:val="tx1"/>
                  </w14:solidFill>
                </w14:textFill>
              </w:rPr>
            </w:pPr>
          </w:p>
          <w:p w14:paraId="632DA32A">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报价合计</w:t>
            </w:r>
          </w:p>
          <w:p w14:paraId="5CC06073">
            <w:pPr>
              <w:snapToGri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8155" w:type="dxa"/>
            <w:gridSpan w:val="8"/>
            <w:noWrap w:val="0"/>
            <w:vAlign w:val="center"/>
          </w:tcPr>
          <w:p w14:paraId="6701D5DA">
            <w:pPr>
              <w:snapToGrid w:val="0"/>
              <w:spacing w:line="400" w:lineRule="exact"/>
              <w:jc w:val="left"/>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 xml:space="preserve">大写: </w:t>
            </w:r>
            <w:r>
              <w:rPr>
                <w:rFonts w:hint="eastAsia" w:ascii="宋体" w:hAnsi="宋体" w:eastAsia="宋体" w:cs="宋体"/>
                <w:b/>
                <w:bCs/>
                <w:color w:val="000000" w:themeColor="text1"/>
                <w:kern w:val="0"/>
                <w:szCs w:val="21"/>
                <w:highlight w:val="none"/>
                <w:u w:val="single"/>
                <w14:textFill>
                  <w14:solidFill>
                    <w14:schemeClr w14:val="tx1"/>
                  </w14:solidFill>
                </w14:textFill>
              </w:rPr>
              <w:t xml:space="preserve">                     </w:t>
            </w:r>
          </w:p>
        </w:tc>
      </w:tr>
      <w:tr w14:paraId="525B23EA">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675" w:hRule="atLeast"/>
        </w:trPr>
        <w:tc>
          <w:tcPr>
            <w:tcW w:w="1419" w:type="dxa"/>
            <w:gridSpan w:val="2"/>
            <w:vMerge w:val="continue"/>
            <w:tcBorders>
              <w:bottom w:val="single" w:color="auto" w:sz="12" w:space="0"/>
            </w:tcBorders>
            <w:noWrap w:val="0"/>
            <w:vAlign w:val="center"/>
          </w:tcPr>
          <w:p w14:paraId="4B13F2F1">
            <w:pPr>
              <w:snapToGrid w:val="0"/>
              <w:spacing w:line="400" w:lineRule="exact"/>
              <w:jc w:val="center"/>
              <w:rPr>
                <w:rFonts w:hint="eastAsia" w:ascii="宋体" w:hAnsi="宋体" w:eastAsia="宋体" w:cs="宋体"/>
                <w:color w:val="000000" w:themeColor="text1"/>
                <w:kern w:val="0"/>
                <w:szCs w:val="21"/>
                <w:highlight w:val="none"/>
                <w14:textFill>
                  <w14:solidFill>
                    <w14:schemeClr w14:val="tx1"/>
                  </w14:solidFill>
                </w14:textFill>
              </w:rPr>
            </w:pPr>
          </w:p>
        </w:tc>
        <w:tc>
          <w:tcPr>
            <w:tcW w:w="8155" w:type="dxa"/>
            <w:gridSpan w:val="8"/>
            <w:tcBorders>
              <w:bottom w:val="single" w:color="auto" w:sz="12" w:space="0"/>
            </w:tcBorders>
            <w:noWrap w:val="0"/>
            <w:vAlign w:val="center"/>
          </w:tcPr>
          <w:p w14:paraId="660930B2">
            <w:pPr>
              <w:snapToGrid w:val="0"/>
              <w:spacing w:line="400" w:lineRule="exact"/>
              <w:jc w:val="left"/>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小写：</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元</w:t>
            </w:r>
          </w:p>
        </w:tc>
      </w:tr>
    </w:tbl>
    <w:p w14:paraId="32AE0E8F">
      <w:pPr>
        <w:rPr>
          <w:rFonts w:hint="eastAsia" w:ascii="宋体" w:hAnsi="宋体" w:eastAsia="宋体" w:cs="宋体"/>
          <w:color w:val="000000" w:themeColor="text1"/>
          <w:sz w:val="24"/>
          <w:highlight w:val="none"/>
          <w14:textFill>
            <w14:solidFill>
              <w14:schemeClr w14:val="tx1"/>
            </w14:solidFill>
          </w14:textFill>
        </w:rPr>
      </w:pPr>
    </w:p>
    <w:p w14:paraId="232CBBCE">
      <w:pPr>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w:t>
      </w:r>
    </w:p>
    <w:p w14:paraId="2C045088">
      <w:pPr>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1.供应商必须严格按照此表格内容对所投全部设备的品牌、规格型号、单价、合价等全部内容逐项填报；如不按照此表格格式、内容逐项填报的，视为不响应招标文件形式评审要求，不再进入下一步评审。</w:t>
      </w:r>
    </w:p>
    <w:p w14:paraId="2E70D1CC">
      <w:pPr>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2.“报价合计”为各分项报价金额之和，且须与投标函中的投标报价一致。</w:t>
      </w:r>
    </w:p>
    <w:p w14:paraId="3FFAAAE2">
      <w:pPr>
        <w:adjustRightInd w:val="0"/>
        <w:snapToGrid w:val="0"/>
        <w:spacing w:line="480" w:lineRule="auto"/>
        <w:rPr>
          <w:rFonts w:hint="eastAsia" w:ascii="宋体" w:hAnsi="宋体" w:eastAsia="宋体" w:cs="宋体"/>
          <w:b/>
          <w:bCs/>
          <w:color w:val="000000" w:themeColor="text1"/>
          <w:sz w:val="21"/>
          <w:szCs w:val="21"/>
          <w:highlight w:val="none"/>
          <w14:textFill>
            <w14:solidFill>
              <w14:schemeClr w14:val="tx1"/>
            </w14:solidFill>
          </w14:textFill>
        </w:rPr>
      </w:pPr>
    </w:p>
    <w:p w14:paraId="72E6C9D0">
      <w:pPr>
        <w:rPr>
          <w:rFonts w:hint="eastAsia" w:ascii="宋体" w:hAnsi="宋体" w:eastAsia="宋体" w:cs="宋体"/>
          <w:color w:val="000000" w:themeColor="text1"/>
          <w:sz w:val="21"/>
          <w:szCs w:val="21"/>
          <w:highlight w:val="none"/>
          <w14:textFill>
            <w14:solidFill>
              <w14:schemeClr w14:val="tx1"/>
            </w14:solidFill>
          </w14:textFill>
        </w:rPr>
      </w:pPr>
    </w:p>
    <w:p w14:paraId="6BFD854C">
      <w:pPr>
        <w:pStyle w:val="28"/>
        <w:spacing w:line="360" w:lineRule="auto"/>
        <w:ind w:right="-46" w:rightChars="-22" w:firstLine="2940" w:firstLineChars="14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（电子签章）</w:t>
      </w:r>
    </w:p>
    <w:p w14:paraId="046FAD67">
      <w:pPr>
        <w:pStyle w:val="28"/>
        <w:spacing w:line="360" w:lineRule="auto"/>
        <w:ind w:right="-46" w:rightChars="-22" w:firstLine="2940" w:firstLineChars="14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法定代表人或委托代理人：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（电子签章）</w:t>
      </w:r>
    </w:p>
    <w:p w14:paraId="1B1EDB25">
      <w:pPr>
        <w:pStyle w:val="28"/>
        <w:spacing w:line="360" w:lineRule="auto"/>
        <w:ind w:right="-46" w:rightChars="-22" w:firstLine="2940" w:firstLineChars="14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日</w:t>
      </w:r>
    </w:p>
    <w:p w14:paraId="40DAE590">
      <w:pPr>
        <w:adjustRightInd w:val="0"/>
        <w:spacing w:before="240" w:after="60" w:line="360" w:lineRule="auto"/>
        <w:ind w:firstLine="2940" w:firstLineChars="1400"/>
        <w:outlineLvl w:val="0"/>
        <w:rPr>
          <w:rFonts w:hint="eastAsia" w:ascii="宋体" w:hAnsi="宋体" w:eastAsia="宋体" w:cs="宋体"/>
          <w:b/>
          <w:color w:val="000000" w:themeColor="text1"/>
          <w:kern w:val="0"/>
          <w:sz w:val="32"/>
          <w:szCs w:val="20"/>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r>
      <w:bookmarkStart w:id="856" w:name="_Toc15443"/>
      <w:bookmarkStart w:id="857" w:name="_Toc135648951"/>
      <w:r>
        <w:rPr>
          <w:rFonts w:hint="eastAsia" w:ascii="宋体" w:hAnsi="宋体" w:eastAsia="宋体" w:cs="宋体"/>
          <w:b/>
          <w:color w:val="000000" w:themeColor="text1"/>
          <w:kern w:val="0"/>
          <w:sz w:val="32"/>
          <w:szCs w:val="20"/>
          <w:highlight w:val="none"/>
          <w14:textFill>
            <w14:solidFill>
              <w14:schemeClr w14:val="tx1"/>
            </w14:solidFill>
          </w14:textFill>
        </w:rPr>
        <w:t>四、技术规格偏差表</w:t>
      </w:r>
      <w:bookmarkEnd w:id="856"/>
      <w:bookmarkEnd w:id="857"/>
    </w:p>
    <w:p w14:paraId="0D45FE22">
      <w:pPr>
        <w:spacing w:line="360" w:lineRule="auto"/>
        <w:ind w:firstLine="210" w:firstLineChars="1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项目名称：</w:t>
      </w:r>
    </w:p>
    <w:tbl>
      <w:tblPr>
        <w:tblStyle w:val="18"/>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1669"/>
        <w:gridCol w:w="1875"/>
        <w:gridCol w:w="2126"/>
        <w:gridCol w:w="1417"/>
        <w:gridCol w:w="1276"/>
      </w:tblGrid>
      <w:tr w14:paraId="53431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641" w:type="dxa"/>
            <w:noWrap w:val="0"/>
            <w:vAlign w:val="center"/>
          </w:tcPr>
          <w:p w14:paraId="41B3FF17">
            <w:pPr>
              <w:spacing w:line="360" w:lineRule="auto"/>
              <w:ind w:left="360" w:hanging="36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序号</w:t>
            </w:r>
          </w:p>
        </w:tc>
        <w:tc>
          <w:tcPr>
            <w:tcW w:w="1669" w:type="dxa"/>
            <w:noWrap w:val="0"/>
            <w:vAlign w:val="center"/>
          </w:tcPr>
          <w:p w14:paraId="3E582A40">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产品名称</w:t>
            </w:r>
          </w:p>
        </w:tc>
        <w:tc>
          <w:tcPr>
            <w:tcW w:w="1875" w:type="dxa"/>
            <w:noWrap w:val="0"/>
            <w:vAlign w:val="center"/>
          </w:tcPr>
          <w:p w14:paraId="45483D50">
            <w:pPr>
              <w:spacing w:line="36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招标</w:t>
            </w:r>
            <w:r>
              <w:rPr>
                <w:rFonts w:hint="eastAsia" w:ascii="宋体" w:hAnsi="宋体" w:eastAsia="宋体" w:cs="宋体"/>
                <w:color w:val="000000" w:themeColor="text1"/>
                <w:szCs w:val="21"/>
                <w:highlight w:val="none"/>
                <w:lang w:val="en-US" w:eastAsia="zh-CN"/>
                <w14:textFill>
                  <w14:solidFill>
                    <w14:schemeClr w14:val="tx1"/>
                  </w14:solidFill>
                </w14:textFill>
              </w:rPr>
              <w:t>技术参数</w:t>
            </w:r>
          </w:p>
        </w:tc>
        <w:tc>
          <w:tcPr>
            <w:tcW w:w="2126" w:type="dxa"/>
            <w:noWrap w:val="0"/>
            <w:vAlign w:val="center"/>
          </w:tcPr>
          <w:p w14:paraId="314A337A">
            <w:pPr>
              <w:spacing w:line="36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w:t>
            </w:r>
            <w:r>
              <w:rPr>
                <w:rFonts w:hint="eastAsia" w:ascii="宋体" w:hAnsi="宋体" w:eastAsia="宋体" w:cs="宋体"/>
                <w:color w:val="000000" w:themeColor="text1"/>
                <w:szCs w:val="21"/>
                <w:highlight w:val="none"/>
                <w:lang w:val="en-US" w:eastAsia="zh-CN"/>
                <w14:textFill>
                  <w14:solidFill>
                    <w14:schemeClr w14:val="tx1"/>
                  </w14:solidFill>
                </w14:textFill>
              </w:rPr>
              <w:t>技术参数</w:t>
            </w:r>
          </w:p>
        </w:tc>
        <w:tc>
          <w:tcPr>
            <w:tcW w:w="1417" w:type="dxa"/>
            <w:noWrap w:val="0"/>
            <w:vAlign w:val="center"/>
          </w:tcPr>
          <w:p w14:paraId="26AA88FD">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有无偏差</w:t>
            </w:r>
          </w:p>
        </w:tc>
        <w:tc>
          <w:tcPr>
            <w:tcW w:w="1276" w:type="dxa"/>
            <w:noWrap w:val="0"/>
            <w:vAlign w:val="center"/>
          </w:tcPr>
          <w:p w14:paraId="7AD2B8EC">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偏差描述</w:t>
            </w:r>
          </w:p>
        </w:tc>
      </w:tr>
      <w:tr w14:paraId="69163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641" w:type="dxa"/>
            <w:noWrap w:val="0"/>
            <w:vAlign w:val="center"/>
          </w:tcPr>
          <w:p w14:paraId="61822B7D">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1669" w:type="dxa"/>
            <w:noWrap w:val="0"/>
            <w:vAlign w:val="center"/>
          </w:tcPr>
          <w:p w14:paraId="7C4C2160">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875" w:type="dxa"/>
            <w:noWrap w:val="0"/>
            <w:vAlign w:val="center"/>
          </w:tcPr>
          <w:p w14:paraId="19214FFA">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2126" w:type="dxa"/>
            <w:noWrap w:val="0"/>
            <w:vAlign w:val="center"/>
          </w:tcPr>
          <w:p w14:paraId="17ABFD70">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417" w:type="dxa"/>
            <w:noWrap w:val="0"/>
            <w:vAlign w:val="center"/>
          </w:tcPr>
          <w:p w14:paraId="1CDAD9D0">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276" w:type="dxa"/>
            <w:noWrap w:val="0"/>
            <w:vAlign w:val="center"/>
          </w:tcPr>
          <w:p w14:paraId="5DE4D14C">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r>
      <w:tr w14:paraId="7B16C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641" w:type="dxa"/>
            <w:noWrap w:val="0"/>
            <w:vAlign w:val="center"/>
          </w:tcPr>
          <w:p w14:paraId="064D6BDF">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1669" w:type="dxa"/>
            <w:noWrap w:val="0"/>
            <w:vAlign w:val="center"/>
          </w:tcPr>
          <w:p w14:paraId="29FD708B">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875" w:type="dxa"/>
            <w:noWrap w:val="0"/>
            <w:vAlign w:val="center"/>
          </w:tcPr>
          <w:p w14:paraId="693DDDF7">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2126" w:type="dxa"/>
            <w:noWrap w:val="0"/>
            <w:vAlign w:val="center"/>
          </w:tcPr>
          <w:p w14:paraId="29A2BCD6">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417" w:type="dxa"/>
            <w:noWrap w:val="0"/>
            <w:vAlign w:val="center"/>
          </w:tcPr>
          <w:p w14:paraId="1289D7C3">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276" w:type="dxa"/>
            <w:noWrap w:val="0"/>
            <w:vAlign w:val="center"/>
          </w:tcPr>
          <w:p w14:paraId="3534C511">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r>
      <w:tr w14:paraId="17D2F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641" w:type="dxa"/>
            <w:noWrap w:val="0"/>
            <w:vAlign w:val="center"/>
          </w:tcPr>
          <w:p w14:paraId="7E48F168">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p>
        </w:tc>
        <w:tc>
          <w:tcPr>
            <w:tcW w:w="1669" w:type="dxa"/>
            <w:noWrap w:val="0"/>
            <w:vAlign w:val="center"/>
          </w:tcPr>
          <w:p w14:paraId="4DC0AB97">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875" w:type="dxa"/>
            <w:noWrap w:val="0"/>
            <w:vAlign w:val="center"/>
          </w:tcPr>
          <w:p w14:paraId="4CBD1029">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2126" w:type="dxa"/>
            <w:noWrap w:val="0"/>
            <w:vAlign w:val="center"/>
          </w:tcPr>
          <w:p w14:paraId="32AC37F2">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417" w:type="dxa"/>
            <w:noWrap w:val="0"/>
            <w:vAlign w:val="center"/>
          </w:tcPr>
          <w:p w14:paraId="4CD9A33E">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276" w:type="dxa"/>
            <w:noWrap w:val="0"/>
            <w:vAlign w:val="center"/>
          </w:tcPr>
          <w:p w14:paraId="6CC1C817">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r>
      <w:tr w14:paraId="1EC89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641" w:type="dxa"/>
            <w:noWrap w:val="0"/>
            <w:vAlign w:val="center"/>
          </w:tcPr>
          <w:p w14:paraId="716C0887">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w:t>
            </w:r>
          </w:p>
        </w:tc>
        <w:tc>
          <w:tcPr>
            <w:tcW w:w="1669" w:type="dxa"/>
            <w:noWrap w:val="0"/>
            <w:vAlign w:val="center"/>
          </w:tcPr>
          <w:p w14:paraId="4B4F8C2A">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875" w:type="dxa"/>
            <w:noWrap w:val="0"/>
            <w:vAlign w:val="center"/>
          </w:tcPr>
          <w:p w14:paraId="6E198E5D">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2126" w:type="dxa"/>
            <w:noWrap w:val="0"/>
            <w:vAlign w:val="center"/>
          </w:tcPr>
          <w:p w14:paraId="1FE86C85">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417" w:type="dxa"/>
            <w:noWrap w:val="0"/>
            <w:vAlign w:val="center"/>
          </w:tcPr>
          <w:p w14:paraId="13C5CF85">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276" w:type="dxa"/>
            <w:noWrap w:val="0"/>
            <w:vAlign w:val="center"/>
          </w:tcPr>
          <w:p w14:paraId="4E2E624D">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r>
      <w:tr w14:paraId="337DB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641" w:type="dxa"/>
            <w:noWrap w:val="0"/>
            <w:vAlign w:val="center"/>
          </w:tcPr>
          <w:p w14:paraId="6318ECA1">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w:t>
            </w:r>
          </w:p>
        </w:tc>
        <w:tc>
          <w:tcPr>
            <w:tcW w:w="1669" w:type="dxa"/>
            <w:noWrap w:val="0"/>
            <w:vAlign w:val="center"/>
          </w:tcPr>
          <w:p w14:paraId="621856E4">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875" w:type="dxa"/>
            <w:noWrap w:val="0"/>
            <w:vAlign w:val="center"/>
          </w:tcPr>
          <w:p w14:paraId="5E5F6F9E">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2126" w:type="dxa"/>
            <w:noWrap w:val="0"/>
            <w:vAlign w:val="center"/>
          </w:tcPr>
          <w:p w14:paraId="4FB4C157">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417" w:type="dxa"/>
            <w:noWrap w:val="0"/>
            <w:vAlign w:val="center"/>
          </w:tcPr>
          <w:p w14:paraId="7594B81B">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276" w:type="dxa"/>
            <w:noWrap w:val="0"/>
            <w:vAlign w:val="center"/>
          </w:tcPr>
          <w:p w14:paraId="41B8EA57">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r>
      <w:tr w14:paraId="4F8B3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641" w:type="dxa"/>
            <w:noWrap w:val="0"/>
            <w:vAlign w:val="center"/>
          </w:tcPr>
          <w:p w14:paraId="7163052B">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p>
        </w:tc>
        <w:tc>
          <w:tcPr>
            <w:tcW w:w="1669" w:type="dxa"/>
            <w:noWrap w:val="0"/>
            <w:vAlign w:val="center"/>
          </w:tcPr>
          <w:p w14:paraId="6B52EC8C">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875" w:type="dxa"/>
            <w:noWrap w:val="0"/>
            <w:vAlign w:val="center"/>
          </w:tcPr>
          <w:p w14:paraId="2563D5B8">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2126" w:type="dxa"/>
            <w:noWrap w:val="0"/>
            <w:vAlign w:val="center"/>
          </w:tcPr>
          <w:p w14:paraId="034F92B0">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417" w:type="dxa"/>
            <w:noWrap w:val="0"/>
            <w:vAlign w:val="center"/>
          </w:tcPr>
          <w:p w14:paraId="48A0C391">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276" w:type="dxa"/>
            <w:noWrap w:val="0"/>
            <w:vAlign w:val="center"/>
          </w:tcPr>
          <w:p w14:paraId="5FFD478C">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r>
    </w:tbl>
    <w:p w14:paraId="1833A9D2">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681B3084">
      <w:pPr>
        <w:spacing w:line="360" w:lineRule="auto"/>
        <w:ind w:firstLine="210" w:firstLineChars="1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注：1、以上表中各项可进一步细分，栏目不够可自行调整表格；2、“有无偏差”一栏中应填写正偏差、无偏差或负偏差；3、投标人投标产品技术规格与招标文件的技术规格要求有不同时，应在“偏差描述”一栏中详细说明。</w:t>
      </w:r>
    </w:p>
    <w:p w14:paraId="517EBB88">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06DD4500">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05ADC88A">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26170685">
      <w:pPr>
        <w:snapToGrid w:val="0"/>
        <w:spacing w:before="100" w:beforeAutospacing="1" w:after="100" w:afterAutospacing="1" w:line="360" w:lineRule="auto"/>
        <w:ind w:firstLine="3675" w:firstLineChars="17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投标人名称：</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(电子签章)</w:t>
      </w:r>
    </w:p>
    <w:p w14:paraId="0AD58ABF">
      <w:pPr>
        <w:snapToGrid w:val="0"/>
        <w:spacing w:before="100" w:beforeAutospacing="1" w:after="100" w:afterAutospacing="1" w:line="360" w:lineRule="auto"/>
        <w:ind w:firstLine="3675" w:firstLineChars="17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法定代表人或委托代理人：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(电子印章)</w:t>
      </w:r>
    </w:p>
    <w:p w14:paraId="2E20D1A8">
      <w:pPr>
        <w:snapToGrid w:val="0"/>
        <w:spacing w:before="100" w:beforeAutospacing="1" w:after="100" w:afterAutospacing="1" w:line="360" w:lineRule="auto"/>
        <w:ind w:firstLine="3675" w:firstLineChars="175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日 期：</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p>
    <w:p w14:paraId="121CED73">
      <w:pPr>
        <w:widowControl/>
        <w:jc w:val="left"/>
        <w:rPr>
          <w:rFonts w:hint="eastAsia" w:ascii="宋体" w:hAnsi="宋体" w:eastAsia="宋体" w:cs="宋体"/>
          <w:color w:val="000000" w:themeColor="text1"/>
          <w:sz w:val="28"/>
          <w:highlight w:val="none"/>
          <w14:textFill>
            <w14:solidFill>
              <w14:schemeClr w14:val="tx1"/>
            </w14:solidFill>
          </w14:textFill>
        </w:rPr>
        <w:sectPr>
          <w:pgSz w:w="11906" w:h="16838"/>
          <w:pgMar w:top="1134" w:right="1134" w:bottom="1418" w:left="1418" w:header="851" w:footer="992" w:gutter="0"/>
          <w:pgNumType w:fmt="decimal"/>
          <w:cols w:space="720" w:num="1"/>
          <w:docGrid w:linePitch="286" w:charSpace="0"/>
        </w:sectPr>
      </w:pPr>
    </w:p>
    <w:p w14:paraId="34489C92">
      <w:pPr>
        <w:pageBreakBefore w:val="0"/>
        <w:tabs>
          <w:tab w:val="left" w:pos="4678"/>
        </w:tabs>
        <w:kinsoku/>
        <w:wordWrap/>
        <w:overflowPunct/>
        <w:topLinePunct w:val="0"/>
        <w:autoSpaceDE/>
        <w:autoSpaceDN/>
        <w:bidi w:val="0"/>
        <w:adjustRightInd w:val="0"/>
        <w:snapToGrid/>
        <w:spacing w:line="420" w:lineRule="atLeast"/>
        <w:jc w:val="center"/>
        <w:textAlignment w:val="auto"/>
        <w:outlineLvl w:val="0"/>
        <w:rPr>
          <w:rFonts w:hint="eastAsia" w:ascii="宋体" w:hAnsi="宋体" w:eastAsia="宋体" w:cs="宋体"/>
          <w:b/>
          <w:color w:val="000000" w:themeColor="text1"/>
          <w:kern w:val="0"/>
          <w:sz w:val="32"/>
          <w:szCs w:val="20"/>
          <w:highlight w:val="none"/>
          <w14:textFill>
            <w14:solidFill>
              <w14:schemeClr w14:val="tx1"/>
            </w14:solidFill>
          </w14:textFill>
        </w:rPr>
      </w:pPr>
      <w:bookmarkStart w:id="858" w:name="_Toc135922584"/>
      <w:bookmarkStart w:id="859" w:name="_Toc135648952"/>
      <w:bookmarkStart w:id="860" w:name="_Toc28376"/>
      <w:r>
        <w:rPr>
          <w:rFonts w:hint="eastAsia" w:ascii="宋体" w:hAnsi="宋体" w:eastAsia="宋体" w:cs="宋体"/>
          <w:b/>
          <w:color w:val="000000" w:themeColor="text1"/>
          <w:kern w:val="0"/>
          <w:sz w:val="32"/>
          <w:szCs w:val="20"/>
          <w:highlight w:val="none"/>
          <w14:textFill>
            <w14:solidFill>
              <w14:schemeClr w14:val="tx1"/>
            </w14:solidFill>
          </w14:textFill>
        </w:rPr>
        <w:t>五、资格审查资料</w:t>
      </w:r>
      <w:bookmarkEnd w:id="858"/>
      <w:bookmarkEnd w:id="859"/>
      <w:bookmarkEnd w:id="860"/>
    </w:p>
    <w:p w14:paraId="3E487ECE">
      <w:pPr>
        <w:pStyle w:val="3"/>
        <w:pageBreakBefore w:val="0"/>
        <w:kinsoku/>
        <w:wordWrap/>
        <w:overflowPunct/>
        <w:topLinePunct w:val="0"/>
        <w:autoSpaceDE/>
        <w:autoSpaceDN/>
        <w:bidi w:val="0"/>
        <w:snapToGrid/>
        <w:spacing w:beforeLines="0" w:afterLines="0" w:line="360" w:lineRule="auto"/>
        <w:textAlignment w:val="auto"/>
        <w:rPr>
          <w:rFonts w:hint="eastAsia" w:ascii="宋体" w:hAnsi="宋体" w:eastAsia="宋体" w:cs="宋体"/>
          <w:color w:val="000000" w:themeColor="text1"/>
          <w:kern w:val="0"/>
          <w:sz w:val="28"/>
          <w:szCs w:val="28"/>
          <w:highlight w:val="none"/>
          <w14:textFill>
            <w14:solidFill>
              <w14:schemeClr w14:val="tx1"/>
            </w14:solidFill>
          </w14:textFill>
        </w:rPr>
      </w:pPr>
      <w:bookmarkStart w:id="861" w:name="_Toc10576"/>
      <w:r>
        <w:rPr>
          <w:rFonts w:hint="eastAsia" w:ascii="宋体" w:hAnsi="宋体" w:eastAsia="宋体" w:cs="宋体"/>
          <w:color w:val="000000" w:themeColor="text1"/>
          <w:sz w:val="28"/>
          <w:szCs w:val="28"/>
          <w:highlight w:val="none"/>
          <w14:textFill>
            <w14:solidFill>
              <w14:schemeClr w14:val="tx1"/>
            </w14:solidFill>
          </w14:textFill>
        </w:rPr>
        <w:t>（一）</w:t>
      </w:r>
      <w:r>
        <w:rPr>
          <w:rFonts w:hint="eastAsia" w:ascii="宋体" w:hAnsi="宋体" w:eastAsia="宋体" w:cs="宋体"/>
          <w:color w:val="000000" w:themeColor="text1"/>
          <w:kern w:val="0"/>
          <w:sz w:val="28"/>
          <w:szCs w:val="28"/>
          <w:highlight w:val="none"/>
          <w14:textFill>
            <w14:solidFill>
              <w14:schemeClr w14:val="tx1"/>
            </w14:solidFill>
          </w14:textFill>
        </w:rPr>
        <w:t>叶县政府采购供应商信用承诺函</w:t>
      </w:r>
      <w:bookmarkEnd w:id="861"/>
    </w:p>
    <w:p w14:paraId="41A6809E">
      <w:pPr>
        <w:pStyle w:val="15"/>
        <w:pageBreakBefore w:val="0"/>
        <w:kinsoku/>
        <w:wordWrap/>
        <w:overflowPunct/>
        <w:topLinePunct w:val="0"/>
        <w:autoSpaceDE/>
        <w:autoSpaceDN/>
        <w:bidi w:val="0"/>
        <w:snapToGrid/>
        <w:spacing w:before="0" w:beforeAutospacing="0" w:after="0" w:afterAutospacing="0" w:line="500" w:lineRule="exact"/>
        <w:ind w:firstLine="315" w:firstLineChars="15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致（采购人或代理机构）：______________________</w:t>
      </w:r>
    </w:p>
    <w:p w14:paraId="2173F2A6">
      <w:pPr>
        <w:pStyle w:val="15"/>
        <w:pageBreakBefore w:val="0"/>
        <w:kinsoku/>
        <w:wordWrap/>
        <w:overflowPunct/>
        <w:topLinePunct w:val="0"/>
        <w:autoSpaceDE/>
        <w:autoSpaceDN/>
        <w:bidi w:val="0"/>
        <w:snapToGrid/>
        <w:spacing w:before="0" w:beforeAutospacing="0" w:after="0" w:afterAutospacing="0" w:line="500" w:lineRule="exact"/>
        <w:ind w:firstLine="315" w:firstLineChars="15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单位名称: ______________________</w:t>
      </w:r>
    </w:p>
    <w:p w14:paraId="4FBF833A">
      <w:pPr>
        <w:pStyle w:val="15"/>
        <w:pageBreakBefore w:val="0"/>
        <w:kinsoku/>
        <w:wordWrap/>
        <w:overflowPunct/>
        <w:topLinePunct w:val="0"/>
        <w:autoSpaceDE/>
        <w:autoSpaceDN/>
        <w:bidi w:val="0"/>
        <w:snapToGrid/>
        <w:spacing w:before="0" w:beforeAutospacing="0" w:after="0" w:afterAutospacing="0" w:line="500" w:lineRule="exact"/>
        <w:ind w:firstLine="315" w:firstLineChars="15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统一社会信用代码：______________________</w:t>
      </w:r>
    </w:p>
    <w:p w14:paraId="238D6E04">
      <w:pPr>
        <w:pStyle w:val="15"/>
        <w:pageBreakBefore w:val="0"/>
        <w:kinsoku/>
        <w:wordWrap/>
        <w:overflowPunct/>
        <w:topLinePunct w:val="0"/>
        <w:autoSpaceDE/>
        <w:autoSpaceDN/>
        <w:bidi w:val="0"/>
        <w:snapToGrid/>
        <w:spacing w:before="0" w:beforeAutospacing="0" w:after="0" w:afterAutospacing="0" w:line="500" w:lineRule="exact"/>
        <w:ind w:firstLine="315" w:firstLineChars="15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 ______________________</w:t>
      </w:r>
    </w:p>
    <w:p w14:paraId="67A5BB6F">
      <w:pPr>
        <w:pStyle w:val="15"/>
        <w:pageBreakBefore w:val="0"/>
        <w:kinsoku/>
        <w:wordWrap/>
        <w:overflowPunct/>
        <w:topLinePunct w:val="0"/>
        <w:autoSpaceDE/>
        <w:autoSpaceDN/>
        <w:bidi w:val="0"/>
        <w:snapToGrid/>
        <w:spacing w:before="0" w:beforeAutospacing="0" w:after="0" w:afterAutospacing="0" w:line="500" w:lineRule="exact"/>
        <w:ind w:firstLine="315" w:firstLineChars="15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联系地址和电话：______________________</w:t>
      </w:r>
    </w:p>
    <w:p w14:paraId="54F365D7">
      <w:pPr>
        <w:pStyle w:val="15"/>
        <w:pageBreakBefore w:val="0"/>
        <w:kinsoku/>
        <w:wordWrap/>
        <w:overflowPunct/>
        <w:topLinePunct w:val="0"/>
        <w:autoSpaceDE/>
        <w:autoSpaceDN/>
        <w:bidi w:val="0"/>
        <w:snapToGrid/>
        <w:spacing w:before="0" w:beforeAutospacing="0" w:after="0" w:afterAutospacing="0" w:line="500" w:lineRule="exact"/>
        <w:ind w:firstLine="315" w:firstLineChars="15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209B4C72">
      <w:pPr>
        <w:pStyle w:val="15"/>
        <w:pageBreakBefore w:val="0"/>
        <w:kinsoku/>
        <w:wordWrap/>
        <w:overflowPunct/>
        <w:topLinePunct w:val="0"/>
        <w:autoSpaceDE/>
        <w:autoSpaceDN/>
        <w:bidi w:val="0"/>
        <w:snapToGrid/>
        <w:spacing w:before="0" w:beforeAutospacing="0" w:after="0" w:afterAutospacing="0" w:line="500" w:lineRule="exact"/>
        <w:ind w:firstLine="315" w:firstLineChars="15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（一）具有独立承担民事责任的能力;</w:t>
      </w:r>
    </w:p>
    <w:p w14:paraId="3E6A307A">
      <w:pPr>
        <w:pStyle w:val="15"/>
        <w:pageBreakBefore w:val="0"/>
        <w:kinsoku/>
        <w:wordWrap/>
        <w:overflowPunct/>
        <w:topLinePunct w:val="0"/>
        <w:autoSpaceDE/>
        <w:autoSpaceDN/>
        <w:bidi w:val="0"/>
        <w:snapToGrid/>
        <w:spacing w:before="0" w:beforeAutospacing="0" w:after="0" w:afterAutospacing="0" w:line="500" w:lineRule="exact"/>
        <w:ind w:firstLine="315" w:firstLineChars="15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（二）具有良好的商业信誉和健全的财务会计制度；</w:t>
      </w:r>
    </w:p>
    <w:p w14:paraId="47A68C1C">
      <w:pPr>
        <w:pStyle w:val="15"/>
        <w:pageBreakBefore w:val="0"/>
        <w:kinsoku/>
        <w:wordWrap/>
        <w:overflowPunct/>
        <w:topLinePunct w:val="0"/>
        <w:autoSpaceDE/>
        <w:autoSpaceDN/>
        <w:bidi w:val="0"/>
        <w:snapToGrid/>
        <w:spacing w:before="0" w:beforeAutospacing="0" w:after="0" w:afterAutospacing="0" w:line="500" w:lineRule="exact"/>
        <w:ind w:firstLine="315" w:firstLineChars="15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（三）具有履行合同所必需的设备和专业技术能力；</w:t>
      </w:r>
    </w:p>
    <w:p w14:paraId="005606E3">
      <w:pPr>
        <w:pStyle w:val="15"/>
        <w:pageBreakBefore w:val="0"/>
        <w:kinsoku/>
        <w:wordWrap/>
        <w:overflowPunct/>
        <w:topLinePunct w:val="0"/>
        <w:autoSpaceDE/>
        <w:autoSpaceDN/>
        <w:bidi w:val="0"/>
        <w:snapToGrid/>
        <w:spacing w:before="0" w:beforeAutospacing="0" w:after="0" w:afterAutospacing="0" w:line="500" w:lineRule="exact"/>
        <w:ind w:firstLine="315" w:firstLineChars="15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（四）有依法缴纳税收和社会保障资金的良好记录；</w:t>
      </w:r>
    </w:p>
    <w:p w14:paraId="56327237">
      <w:pPr>
        <w:pStyle w:val="15"/>
        <w:pageBreakBefore w:val="0"/>
        <w:kinsoku/>
        <w:wordWrap/>
        <w:overflowPunct/>
        <w:topLinePunct w:val="0"/>
        <w:autoSpaceDE/>
        <w:autoSpaceDN/>
        <w:bidi w:val="0"/>
        <w:snapToGrid/>
        <w:spacing w:before="0" w:beforeAutospacing="0" w:after="0" w:afterAutospacing="0" w:line="500" w:lineRule="exact"/>
        <w:ind w:firstLine="315" w:firstLineChars="15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（五）参加政府采购活动前三年内、在经营活动中没有重大违法记录；</w:t>
      </w:r>
    </w:p>
    <w:p w14:paraId="6AC7E25E">
      <w:pPr>
        <w:pStyle w:val="15"/>
        <w:pageBreakBefore w:val="0"/>
        <w:kinsoku/>
        <w:wordWrap/>
        <w:overflowPunct/>
        <w:topLinePunct w:val="0"/>
        <w:autoSpaceDE/>
        <w:autoSpaceDN/>
        <w:bidi w:val="0"/>
        <w:snapToGrid/>
        <w:spacing w:before="0" w:beforeAutospacing="0" w:after="0" w:afterAutospacing="0" w:line="500" w:lineRule="exact"/>
        <w:ind w:firstLine="315" w:firstLineChars="15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（六）未被列入失信被执行人、重大税收违法案件当事人名单、政府采购严重违法失信行为记录名单；</w:t>
      </w:r>
    </w:p>
    <w:p w14:paraId="12E48595">
      <w:pPr>
        <w:pStyle w:val="15"/>
        <w:pageBreakBefore w:val="0"/>
        <w:kinsoku/>
        <w:wordWrap/>
        <w:overflowPunct/>
        <w:topLinePunct w:val="0"/>
        <w:autoSpaceDE/>
        <w:autoSpaceDN/>
        <w:bidi w:val="0"/>
        <w:snapToGrid/>
        <w:spacing w:before="0" w:beforeAutospacing="0" w:after="0" w:afterAutospacing="0" w:line="500" w:lineRule="exact"/>
        <w:ind w:firstLine="315" w:firstLineChars="15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（七）法律、行政法规规定的其他条件。</w:t>
      </w:r>
    </w:p>
    <w:p w14:paraId="71781AB8">
      <w:pPr>
        <w:pStyle w:val="15"/>
        <w:pageBreakBefore w:val="0"/>
        <w:kinsoku/>
        <w:wordWrap/>
        <w:overflowPunct/>
        <w:topLinePunct w:val="0"/>
        <w:autoSpaceDE/>
        <w:autoSpaceDN/>
        <w:bidi w:val="0"/>
        <w:snapToGrid/>
        <w:spacing w:before="0" w:beforeAutospacing="0" w:after="0" w:afterAutospacing="0" w:line="500" w:lineRule="exact"/>
        <w:ind w:firstLine="315" w:firstLineChars="15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我单位保证上述承诺事项的真实性，如有弄虚作假或其他违法违规行为，愿意承担一切法律责任，并承担因此所造成的一切损失。</w:t>
      </w:r>
    </w:p>
    <w:p w14:paraId="5F0492C4">
      <w:pPr>
        <w:pStyle w:val="15"/>
        <w:pageBreakBefore w:val="0"/>
        <w:kinsoku/>
        <w:wordWrap/>
        <w:overflowPunct/>
        <w:topLinePunct w:val="0"/>
        <w:autoSpaceDE/>
        <w:autoSpaceDN/>
        <w:bidi w:val="0"/>
        <w:snapToGrid/>
        <w:spacing w:before="0" w:beforeAutospacing="0" w:after="0" w:afterAutospacing="0" w:line="500" w:lineRule="exact"/>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p>
    <w:p w14:paraId="38F0311D">
      <w:pPr>
        <w:pStyle w:val="15"/>
        <w:pageBreakBefore w:val="0"/>
        <w:kinsoku/>
        <w:wordWrap/>
        <w:overflowPunct/>
        <w:topLinePunct w:val="0"/>
        <w:autoSpaceDE/>
        <w:autoSpaceDN/>
        <w:bidi w:val="0"/>
        <w:snapToGrid/>
        <w:spacing w:before="0" w:beforeAutospacing="0" w:after="0" w:afterAutospacing="0" w:line="500" w:lineRule="exact"/>
        <w:ind w:firstLine="2415" w:firstLineChars="115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投标人：______________________（电子印章）</w:t>
      </w:r>
    </w:p>
    <w:p w14:paraId="649844C7">
      <w:pPr>
        <w:pStyle w:val="15"/>
        <w:pageBreakBefore w:val="0"/>
        <w:kinsoku/>
        <w:wordWrap/>
        <w:overflowPunct/>
        <w:topLinePunct w:val="0"/>
        <w:autoSpaceDE/>
        <w:autoSpaceDN/>
        <w:bidi w:val="0"/>
        <w:snapToGrid/>
        <w:spacing w:before="0" w:beforeAutospacing="0" w:after="0" w:afterAutospacing="0" w:line="500" w:lineRule="exact"/>
        <w:ind w:firstLine="2415" w:firstLineChars="1150"/>
        <w:jc w:val="both"/>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法定代表人或其委托代理人：_________________（电子印章</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ECD7EC8">
      <w:pPr>
        <w:pStyle w:val="15"/>
        <w:pageBreakBefore w:val="0"/>
        <w:kinsoku/>
        <w:wordWrap/>
        <w:overflowPunct/>
        <w:topLinePunct w:val="0"/>
        <w:autoSpaceDE/>
        <w:autoSpaceDN/>
        <w:bidi w:val="0"/>
        <w:snapToGrid/>
        <w:spacing w:before="0" w:beforeAutospacing="0" w:after="0" w:afterAutospacing="0" w:line="500" w:lineRule="exact"/>
        <w:ind w:firstLine="2415" w:firstLineChars="1150"/>
        <w:jc w:val="both"/>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日期：_____年_____月_____日</w:t>
      </w:r>
    </w:p>
    <w:p w14:paraId="35A6F15E">
      <w:pPr>
        <w:jc w:val="center"/>
        <w:rPr>
          <w:rFonts w:hint="eastAsia" w:ascii="宋体" w:hAnsi="宋体" w:eastAsia="宋体" w:cs="宋体"/>
          <w:b/>
          <w:color w:val="000000" w:themeColor="text1"/>
          <w:sz w:val="32"/>
          <w:szCs w:val="32"/>
          <w:highlight w:val="none"/>
          <w14:textFill>
            <w14:solidFill>
              <w14:schemeClr w14:val="tx1"/>
            </w14:solidFill>
          </w14:textFill>
        </w:rPr>
      </w:pPr>
    </w:p>
    <w:p w14:paraId="43011A73">
      <w:pPr>
        <w:jc w:val="center"/>
        <w:rPr>
          <w:rFonts w:hint="eastAsia" w:ascii="宋体" w:hAnsi="宋体" w:eastAsia="宋体" w:cs="宋体"/>
          <w:b/>
          <w:color w:val="000000" w:themeColor="text1"/>
          <w:sz w:val="32"/>
          <w:szCs w:val="32"/>
          <w:highlight w:val="none"/>
          <w14:textFill>
            <w14:solidFill>
              <w14:schemeClr w14:val="tx1"/>
            </w14:solidFill>
          </w14:textFill>
        </w:rPr>
      </w:pPr>
    </w:p>
    <w:p w14:paraId="0DAF4F78">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（二）其他资格审查资料</w:t>
      </w:r>
    </w:p>
    <w:p w14:paraId="1C9DD063">
      <w:pPr>
        <w:jc w:val="center"/>
        <w:rPr>
          <w:rFonts w:hint="eastAsia" w:ascii="宋体" w:hAnsi="宋体" w:eastAsia="宋体" w:cs="宋体"/>
          <w:b/>
          <w:color w:val="000000" w:themeColor="text1"/>
          <w:sz w:val="32"/>
          <w:szCs w:val="32"/>
          <w:highlight w:val="none"/>
          <w14:textFill>
            <w14:solidFill>
              <w14:schemeClr w14:val="tx1"/>
            </w14:solidFill>
          </w14:textFill>
        </w:rPr>
      </w:pPr>
    </w:p>
    <w:p w14:paraId="5A208B14">
      <w:pPr>
        <w:adjustRightInd w:val="0"/>
        <w:spacing w:before="240" w:after="60" w:line="420" w:lineRule="atLeast"/>
        <w:jc w:val="center"/>
        <w:outlineLvl w:val="0"/>
        <w:rPr>
          <w:rFonts w:hint="eastAsia" w:ascii="宋体" w:hAnsi="宋体" w:eastAsia="宋体" w:cs="宋体"/>
          <w:b/>
          <w:color w:val="000000" w:themeColor="text1"/>
          <w:kern w:val="0"/>
          <w:sz w:val="32"/>
          <w:szCs w:val="20"/>
          <w:highlight w:val="none"/>
          <w:lang w:eastAsia="zh-CN"/>
          <w14:textFill>
            <w14:solidFill>
              <w14:schemeClr w14:val="tx1"/>
            </w14:solidFill>
          </w14:textFill>
        </w:rPr>
      </w:pPr>
      <w:bookmarkStart w:id="862" w:name="_Toc135922585"/>
      <w:bookmarkStart w:id="863" w:name="_Toc135648953"/>
      <w:r>
        <w:rPr>
          <w:rFonts w:hint="eastAsia" w:ascii="宋体" w:hAnsi="宋体" w:eastAsia="宋体" w:cs="宋体"/>
          <w:b/>
          <w:color w:val="000000" w:themeColor="text1"/>
          <w:kern w:val="0"/>
          <w:sz w:val="32"/>
          <w:szCs w:val="20"/>
          <w:highlight w:val="none"/>
          <w14:textFill>
            <w14:solidFill>
              <w14:schemeClr w14:val="tx1"/>
            </w14:solidFill>
          </w14:textFill>
        </w:rPr>
        <w:br w:type="page"/>
      </w:r>
      <w:bookmarkStart w:id="864" w:name="_Toc25860"/>
      <w:r>
        <w:rPr>
          <w:rFonts w:hint="eastAsia" w:ascii="宋体" w:hAnsi="宋体" w:eastAsia="宋体" w:cs="宋体"/>
          <w:b/>
          <w:color w:val="000000" w:themeColor="text1"/>
          <w:kern w:val="0"/>
          <w:sz w:val="32"/>
          <w:szCs w:val="20"/>
          <w:highlight w:val="none"/>
          <w14:textFill>
            <w14:solidFill>
              <w14:schemeClr w14:val="tx1"/>
            </w14:solidFill>
          </w14:textFill>
        </w:rPr>
        <w:t>六、技术标</w:t>
      </w:r>
      <w:r>
        <w:rPr>
          <w:rFonts w:hint="eastAsia" w:ascii="宋体" w:hAnsi="宋体" w:eastAsia="宋体" w:cs="宋体"/>
          <w:b/>
          <w:color w:val="000000" w:themeColor="text1"/>
          <w:kern w:val="0"/>
          <w:sz w:val="32"/>
          <w:szCs w:val="20"/>
          <w:highlight w:val="none"/>
          <w:lang w:val="en-US" w:eastAsia="zh-CN"/>
          <w14:textFill>
            <w14:solidFill>
              <w14:schemeClr w14:val="tx1"/>
            </w14:solidFill>
          </w14:textFill>
        </w:rPr>
        <w:t>部分</w:t>
      </w:r>
      <w:bookmarkEnd w:id="862"/>
      <w:bookmarkEnd w:id="863"/>
      <w:bookmarkEnd w:id="864"/>
    </w:p>
    <w:p w14:paraId="0A87BF77">
      <w:pPr>
        <w:rPr>
          <w:rFonts w:hint="eastAsia" w:ascii="宋体" w:hAnsi="宋体" w:eastAsia="宋体" w:cs="宋体"/>
          <w:color w:val="000000" w:themeColor="text1"/>
          <w:highlight w:val="none"/>
          <w14:textFill>
            <w14:solidFill>
              <w14:schemeClr w14:val="tx1"/>
            </w14:solidFill>
          </w14:textFill>
        </w:rPr>
      </w:pPr>
    </w:p>
    <w:p w14:paraId="1C0061C8">
      <w:pPr>
        <w:rPr>
          <w:rFonts w:hint="eastAsia" w:ascii="宋体" w:hAnsi="宋体" w:eastAsia="宋体" w:cs="宋体"/>
          <w:color w:val="000000" w:themeColor="text1"/>
          <w:highlight w:val="none"/>
          <w14:textFill>
            <w14:solidFill>
              <w14:schemeClr w14:val="tx1"/>
            </w14:solidFill>
          </w14:textFill>
        </w:rPr>
      </w:pPr>
    </w:p>
    <w:p w14:paraId="12B222D6">
      <w:pPr>
        <w:rPr>
          <w:rFonts w:hint="eastAsia" w:ascii="宋体" w:hAnsi="宋体" w:eastAsia="宋体" w:cs="宋体"/>
          <w:color w:val="000000" w:themeColor="text1"/>
          <w:highlight w:val="none"/>
          <w14:textFill>
            <w14:solidFill>
              <w14:schemeClr w14:val="tx1"/>
            </w14:solidFill>
          </w14:textFill>
        </w:rPr>
      </w:pPr>
    </w:p>
    <w:p w14:paraId="78F8DFFF">
      <w:pPr>
        <w:rPr>
          <w:rFonts w:hint="eastAsia" w:ascii="宋体" w:hAnsi="宋体" w:eastAsia="宋体" w:cs="宋体"/>
          <w:color w:val="000000" w:themeColor="text1"/>
          <w:highlight w:val="none"/>
          <w14:textFill>
            <w14:solidFill>
              <w14:schemeClr w14:val="tx1"/>
            </w14:solidFill>
          </w14:textFill>
        </w:rPr>
      </w:pPr>
    </w:p>
    <w:p w14:paraId="73004704">
      <w:pPr>
        <w:rPr>
          <w:rFonts w:hint="eastAsia" w:ascii="宋体" w:hAnsi="宋体" w:eastAsia="宋体" w:cs="宋体"/>
          <w:color w:val="000000" w:themeColor="text1"/>
          <w:highlight w:val="none"/>
          <w14:textFill>
            <w14:solidFill>
              <w14:schemeClr w14:val="tx1"/>
            </w14:solidFill>
          </w14:textFill>
        </w:rPr>
      </w:pPr>
    </w:p>
    <w:p w14:paraId="2B5BD1F6">
      <w:pPr>
        <w:rPr>
          <w:rFonts w:hint="eastAsia" w:ascii="宋体" w:hAnsi="宋体" w:eastAsia="宋体" w:cs="宋体"/>
          <w:color w:val="000000" w:themeColor="text1"/>
          <w:highlight w:val="none"/>
          <w14:textFill>
            <w14:solidFill>
              <w14:schemeClr w14:val="tx1"/>
            </w14:solidFill>
          </w14:textFill>
        </w:rPr>
      </w:pPr>
    </w:p>
    <w:p w14:paraId="760BDFCB">
      <w:pPr>
        <w:rPr>
          <w:rFonts w:hint="eastAsia" w:ascii="宋体" w:hAnsi="宋体" w:eastAsia="宋体" w:cs="宋体"/>
          <w:color w:val="000000" w:themeColor="text1"/>
          <w:highlight w:val="none"/>
          <w14:textFill>
            <w14:solidFill>
              <w14:schemeClr w14:val="tx1"/>
            </w14:solidFill>
          </w14:textFill>
        </w:rPr>
      </w:pPr>
    </w:p>
    <w:p w14:paraId="630C103F">
      <w:pPr>
        <w:rPr>
          <w:rFonts w:hint="eastAsia" w:ascii="宋体" w:hAnsi="宋体" w:eastAsia="宋体" w:cs="宋体"/>
          <w:color w:val="000000" w:themeColor="text1"/>
          <w:highlight w:val="none"/>
          <w14:textFill>
            <w14:solidFill>
              <w14:schemeClr w14:val="tx1"/>
            </w14:solidFill>
          </w14:textFill>
        </w:rPr>
      </w:pPr>
    </w:p>
    <w:p w14:paraId="435694F0">
      <w:pPr>
        <w:rPr>
          <w:rFonts w:hint="eastAsia" w:ascii="宋体" w:hAnsi="宋体" w:eastAsia="宋体" w:cs="宋体"/>
          <w:color w:val="000000" w:themeColor="text1"/>
          <w:highlight w:val="none"/>
          <w14:textFill>
            <w14:solidFill>
              <w14:schemeClr w14:val="tx1"/>
            </w14:solidFill>
          </w14:textFill>
        </w:rPr>
      </w:pPr>
    </w:p>
    <w:p w14:paraId="16CFEF81">
      <w:pPr>
        <w:rPr>
          <w:rFonts w:hint="eastAsia" w:ascii="宋体" w:hAnsi="宋体" w:eastAsia="宋体" w:cs="宋体"/>
          <w:color w:val="000000" w:themeColor="text1"/>
          <w:highlight w:val="none"/>
          <w14:textFill>
            <w14:solidFill>
              <w14:schemeClr w14:val="tx1"/>
            </w14:solidFill>
          </w14:textFill>
        </w:rPr>
      </w:pPr>
    </w:p>
    <w:p w14:paraId="12588BBF">
      <w:pPr>
        <w:rPr>
          <w:rFonts w:hint="eastAsia" w:ascii="宋体" w:hAnsi="宋体" w:eastAsia="宋体" w:cs="宋体"/>
          <w:color w:val="000000" w:themeColor="text1"/>
          <w:highlight w:val="none"/>
          <w14:textFill>
            <w14:solidFill>
              <w14:schemeClr w14:val="tx1"/>
            </w14:solidFill>
          </w14:textFill>
        </w:rPr>
      </w:pPr>
    </w:p>
    <w:p w14:paraId="66AADEA9">
      <w:pPr>
        <w:rPr>
          <w:rFonts w:hint="eastAsia" w:ascii="宋体" w:hAnsi="宋体" w:eastAsia="宋体" w:cs="宋体"/>
          <w:color w:val="000000" w:themeColor="text1"/>
          <w:highlight w:val="none"/>
          <w14:textFill>
            <w14:solidFill>
              <w14:schemeClr w14:val="tx1"/>
            </w14:solidFill>
          </w14:textFill>
        </w:rPr>
      </w:pPr>
    </w:p>
    <w:p w14:paraId="235030E2">
      <w:pPr>
        <w:rPr>
          <w:rFonts w:hint="eastAsia" w:ascii="宋体" w:hAnsi="宋体" w:eastAsia="宋体" w:cs="宋体"/>
          <w:color w:val="000000" w:themeColor="text1"/>
          <w:highlight w:val="none"/>
          <w14:textFill>
            <w14:solidFill>
              <w14:schemeClr w14:val="tx1"/>
            </w14:solidFill>
          </w14:textFill>
        </w:rPr>
      </w:pPr>
    </w:p>
    <w:p w14:paraId="6889E32C">
      <w:pPr>
        <w:rPr>
          <w:rFonts w:hint="eastAsia" w:ascii="宋体" w:hAnsi="宋体" w:eastAsia="宋体" w:cs="宋体"/>
          <w:color w:val="000000" w:themeColor="text1"/>
          <w:highlight w:val="none"/>
          <w14:textFill>
            <w14:solidFill>
              <w14:schemeClr w14:val="tx1"/>
            </w14:solidFill>
          </w14:textFill>
        </w:rPr>
      </w:pPr>
    </w:p>
    <w:p w14:paraId="67DC7B0D">
      <w:pPr>
        <w:rPr>
          <w:rFonts w:hint="eastAsia" w:ascii="宋体" w:hAnsi="宋体" w:eastAsia="宋体" w:cs="宋体"/>
          <w:color w:val="000000" w:themeColor="text1"/>
          <w:highlight w:val="none"/>
          <w14:textFill>
            <w14:solidFill>
              <w14:schemeClr w14:val="tx1"/>
            </w14:solidFill>
          </w14:textFill>
        </w:rPr>
      </w:pPr>
    </w:p>
    <w:p w14:paraId="5A14F284">
      <w:pPr>
        <w:rPr>
          <w:rFonts w:hint="eastAsia" w:ascii="宋体" w:hAnsi="宋体" w:eastAsia="宋体" w:cs="宋体"/>
          <w:color w:val="000000" w:themeColor="text1"/>
          <w:highlight w:val="none"/>
          <w14:textFill>
            <w14:solidFill>
              <w14:schemeClr w14:val="tx1"/>
            </w14:solidFill>
          </w14:textFill>
        </w:rPr>
      </w:pPr>
    </w:p>
    <w:p w14:paraId="262FC3AA">
      <w:pPr>
        <w:rPr>
          <w:rFonts w:hint="eastAsia" w:ascii="宋体" w:hAnsi="宋体" w:eastAsia="宋体" w:cs="宋体"/>
          <w:color w:val="000000" w:themeColor="text1"/>
          <w:highlight w:val="none"/>
          <w14:textFill>
            <w14:solidFill>
              <w14:schemeClr w14:val="tx1"/>
            </w14:solidFill>
          </w14:textFill>
        </w:rPr>
      </w:pPr>
    </w:p>
    <w:p w14:paraId="44473C2C">
      <w:pPr>
        <w:rPr>
          <w:rFonts w:hint="eastAsia" w:ascii="宋体" w:hAnsi="宋体" w:eastAsia="宋体" w:cs="宋体"/>
          <w:color w:val="000000" w:themeColor="text1"/>
          <w:highlight w:val="none"/>
          <w14:textFill>
            <w14:solidFill>
              <w14:schemeClr w14:val="tx1"/>
            </w14:solidFill>
          </w14:textFill>
        </w:rPr>
      </w:pPr>
    </w:p>
    <w:p w14:paraId="42D66622">
      <w:pPr>
        <w:rPr>
          <w:rFonts w:hint="eastAsia" w:ascii="宋体" w:hAnsi="宋体" w:eastAsia="宋体" w:cs="宋体"/>
          <w:color w:val="000000" w:themeColor="text1"/>
          <w:highlight w:val="none"/>
          <w14:textFill>
            <w14:solidFill>
              <w14:schemeClr w14:val="tx1"/>
            </w14:solidFill>
          </w14:textFill>
        </w:rPr>
      </w:pPr>
    </w:p>
    <w:p w14:paraId="547A8E5F">
      <w:pPr>
        <w:rPr>
          <w:rFonts w:hint="eastAsia" w:ascii="宋体" w:hAnsi="宋体" w:eastAsia="宋体" w:cs="宋体"/>
          <w:color w:val="000000" w:themeColor="text1"/>
          <w:highlight w:val="none"/>
          <w14:textFill>
            <w14:solidFill>
              <w14:schemeClr w14:val="tx1"/>
            </w14:solidFill>
          </w14:textFill>
        </w:rPr>
      </w:pPr>
    </w:p>
    <w:p w14:paraId="020ACA6E">
      <w:pPr>
        <w:rPr>
          <w:rFonts w:hint="eastAsia" w:ascii="宋体" w:hAnsi="宋体" w:eastAsia="宋体" w:cs="宋体"/>
          <w:color w:val="000000" w:themeColor="text1"/>
          <w:highlight w:val="none"/>
          <w14:textFill>
            <w14:solidFill>
              <w14:schemeClr w14:val="tx1"/>
            </w14:solidFill>
          </w14:textFill>
        </w:rPr>
      </w:pPr>
    </w:p>
    <w:p w14:paraId="2EF3A31F">
      <w:pPr>
        <w:rPr>
          <w:rFonts w:hint="eastAsia" w:ascii="宋体" w:hAnsi="宋体" w:eastAsia="宋体" w:cs="宋体"/>
          <w:color w:val="000000" w:themeColor="text1"/>
          <w:highlight w:val="none"/>
          <w14:textFill>
            <w14:solidFill>
              <w14:schemeClr w14:val="tx1"/>
            </w14:solidFill>
          </w14:textFill>
        </w:rPr>
      </w:pPr>
    </w:p>
    <w:p w14:paraId="2F82EBAD">
      <w:pPr>
        <w:rPr>
          <w:rFonts w:hint="eastAsia" w:ascii="宋体" w:hAnsi="宋体" w:eastAsia="宋体" w:cs="宋体"/>
          <w:color w:val="000000" w:themeColor="text1"/>
          <w:highlight w:val="none"/>
          <w14:textFill>
            <w14:solidFill>
              <w14:schemeClr w14:val="tx1"/>
            </w14:solidFill>
          </w14:textFill>
        </w:rPr>
      </w:pPr>
    </w:p>
    <w:p w14:paraId="7167A805">
      <w:pPr>
        <w:rPr>
          <w:rFonts w:hint="eastAsia" w:ascii="宋体" w:hAnsi="宋体" w:eastAsia="宋体" w:cs="宋体"/>
          <w:color w:val="000000" w:themeColor="text1"/>
          <w:highlight w:val="none"/>
          <w14:textFill>
            <w14:solidFill>
              <w14:schemeClr w14:val="tx1"/>
            </w14:solidFill>
          </w14:textFill>
        </w:rPr>
      </w:pPr>
    </w:p>
    <w:p w14:paraId="50F9BE51">
      <w:pPr>
        <w:rPr>
          <w:rFonts w:hint="eastAsia" w:ascii="宋体" w:hAnsi="宋体" w:eastAsia="宋体" w:cs="宋体"/>
          <w:color w:val="000000" w:themeColor="text1"/>
          <w:highlight w:val="none"/>
          <w14:textFill>
            <w14:solidFill>
              <w14:schemeClr w14:val="tx1"/>
            </w14:solidFill>
          </w14:textFill>
        </w:rPr>
      </w:pPr>
    </w:p>
    <w:p w14:paraId="255E1EF6">
      <w:pPr>
        <w:rPr>
          <w:rFonts w:hint="eastAsia" w:ascii="宋体" w:hAnsi="宋体" w:eastAsia="宋体" w:cs="宋体"/>
          <w:color w:val="000000" w:themeColor="text1"/>
          <w:highlight w:val="none"/>
          <w14:textFill>
            <w14:solidFill>
              <w14:schemeClr w14:val="tx1"/>
            </w14:solidFill>
          </w14:textFill>
        </w:rPr>
      </w:pPr>
    </w:p>
    <w:p w14:paraId="7C72553B">
      <w:pPr>
        <w:rPr>
          <w:rFonts w:hint="eastAsia" w:ascii="宋体" w:hAnsi="宋体" w:eastAsia="宋体" w:cs="宋体"/>
          <w:color w:val="000000" w:themeColor="text1"/>
          <w:highlight w:val="none"/>
          <w14:textFill>
            <w14:solidFill>
              <w14:schemeClr w14:val="tx1"/>
            </w14:solidFill>
          </w14:textFill>
        </w:rPr>
      </w:pPr>
    </w:p>
    <w:p w14:paraId="146FB389">
      <w:pPr>
        <w:rPr>
          <w:rFonts w:hint="eastAsia" w:ascii="宋体" w:hAnsi="宋体" w:eastAsia="宋体" w:cs="宋体"/>
          <w:color w:val="000000" w:themeColor="text1"/>
          <w:highlight w:val="none"/>
          <w14:textFill>
            <w14:solidFill>
              <w14:schemeClr w14:val="tx1"/>
            </w14:solidFill>
          </w14:textFill>
        </w:rPr>
      </w:pPr>
    </w:p>
    <w:p w14:paraId="4A403D73">
      <w:pPr>
        <w:rPr>
          <w:rFonts w:hint="eastAsia" w:ascii="宋体" w:hAnsi="宋体" w:eastAsia="宋体" w:cs="宋体"/>
          <w:color w:val="000000" w:themeColor="text1"/>
          <w:highlight w:val="none"/>
          <w14:textFill>
            <w14:solidFill>
              <w14:schemeClr w14:val="tx1"/>
            </w14:solidFill>
          </w14:textFill>
        </w:rPr>
      </w:pPr>
    </w:p>
    <w:p w14:paraId="29F2E458">
      <w:pPr>
        <w:rPr>
          <w:rFonts w:hint="eastAsia" w:ascii="宋体" w:hAnsi="宋体" w:eastAsia="宋体" w:cs="宋体"/>
          <w:color w:val="000000" w:themeColor="text1"/>
          <w:highlight w:val="none"/>
          <w14:textFill>
            <w14:solidFill>
              <w14:schemeClr w14:val="tx1"/>
            </w14:solidFill>
          </w14:textFill>
        </w:rPr>
      </w:pPr>
    </w:p>
    <w:p w14:paraId="430E0DE2">
      <w:pPr>
        <w:rPr>
          <w:rFonts w:hint="eastAsia" w:ascii="宋体" w:hAnsi="宋体" w:eastAsia="宋体" w:cs="宋体"/>
          <w:color w:val="000000" w:themeColor="text1"/>
          <w:highlight w:val="none"/>
          <w14:textFill>
            <w14:solidFill>
              <w14:schemeClr w14:val="tx1"/>
            </w14:solidFill>
          </w14:textFill>
        </w:rPr>
      </w:pPr>
    </w:p>
    <w:p w14:paraId="11FC15BF">
      <w:pPr>
        <w:rPr>
          <w:rFonts w:hint="eastAsia" w:ascii="宋体" w:hAnsi="宋体" w:eastAsia="宋体" w:cs="宋体"/>
          <w:color w:val="000000" w:themeColor="text1"/>
          <w:highlight w:val="none"/>
          <w14:textFill>
            <w14:solidFill>
              <w14:schemeClr w14:val="tx1"/>
            </w14:solidFill>
          </w14:textFill>
        </w:rPr>
      </w:pPr>
    </w:p>
    <w:p w14:paraId="70B4A922">
      <w:pPr>
        <w:rPr>
          <w:rFonts w:hint="eastAsia" w:ascii="宋体" w:hAnsi="宋体" w:eastAsia="宋体" w:cs="宋体"/>
          <w:color w:val="000000" w:themeColor="text1"/>
          <w:highlight w:val="none"/>
          <w14:textFill>
            <w14:solidFill>
              <w14:schemeClr w14:val="tx1"/>
            </w14:solidFill>
          </w14:textFill>
        </w:rPr>
      </w:pPr>
    </w:p>
    <w:p w14:paraId="7DC34E7F">
      <w:pPr>
        <w:rPr>
          <w:rFonts w:hint="eastAsia" w:ascii="宋体" w:hAnsi="宋体" w:eastAsia="宋体" w:cs="宋体"/>
          <w:color w:val="000000" w:themeColor="text1"/>
          <w:highlight w:val="none"/>
          <w14:textFill>
            <w14:solidFill>
              <w14:schemeClr w14:val="tx1"/>
            </w14:solidFill>
          </w14:textFill>
        </w:rPr>
      </w:pPr>
    </w:p>
    <w:p w14:paraId="7ED7DDD0">
      <w:pPr>
        <w:rPr>
          <w:rFonts w:hint="eastAsia" w:ascii="宋体" w:hAnsi="宋体" w:eastAsia="宋体" w:cs="宋体"/>
          <w:color w:val="000000" w:themeColor="text1"/>
          <w:highlight w:val="none"/>
          <w14:textFill>
            <w14:solidFill>
              <w14:schemeClr w14:val="tx1"/>
            </w14:solidFill>
          </w14:textFill>
        </w:rPr>
      </w:pPr>
    </w:p>
    <w:p w14:paraId="6F98B19E">
      <w:pPr>
        <w:rPr>
          <w:rFonts w:hint="eastAsia" w:ascii="宋体" w:hAnsi="宋体" w:eastAsia="宋体" w:cs="宋体"/>
          <w:color w:val="000000" w:themeColor="text1"/>
          <w:highlight w:val="none"/>
          <w14:textFill>
            <w14:solidFill>
              <w14:schemeClr w14:val="tx1"/>
            </w14:solidFill>
          </w14:textFill>
        </w:rPr>
      </w:pPr>
    </w:p>
    <w:p w14:paraId="114BD19E">
      <w:pPr>
        <w:rPr>
          <w:rFonts w:hint="eastAsia" w:ascii="宋体" w:hAnsi="宋体" w:eastAsia="宋体" w:cs="宋体"/>
          <w:color w:val="000000" w:themeColor="text1"/>
          <w:highlight w:val="none"/>
          <w14:textFill>
            <w14:solidFill>
              <w14:schemeClr w14:val="tx1"/>
            </w14:solidFill>
          </w14:textFill>
        </w:rPr>
      </w:pPr>
    </w:p>
    <w:p w14:paraId="4EB39CE7">
      <w:pPr>
        <w:rPr>
          <w:rFonts w:hint="eastAsia" w:ascii="宋体" w:hAnsi="宋体" w:eastAsia="宋体" w:cs="宋体"/>
          <w:color w:val="000000" w:themeColor="text1"/>
          <w:highlight w:val="none"/>
          <w14:textFill>
            <w14:solidFill>
              <w14:schemeClr w14:val="tx1"/>
            </w14:solidFill>
          </w14:textFill>
        </w:rPr>
      </w:pPr>
    </w:p>
    <w:p w14:paraId="7CF4802C">
      <w:pPr>
        <w:rPr>
          <w:rFonts w:hint="eastAsia" w:ascii="宋体" w:hAnsi="宋体" w:eastAsia="宋体" w:cs="宋体"/>
          <w:color w:val="000000" w:themeColor="text1"/>
          <w:highlight w:val="none"/>
          <w14:textFill>
            <w14:solidFill>
              <w14:schemeClr w14:val="tx1"/>
            </w14:solidFill>
          </w14:textFill>
        </w:rPr>
      </w:pPr>
    </w:p>
    <w:p w14:paraId="0FE697D2">
      <w:pPr>
        <w:rPr>
          <w:rFonts w:hint="eastAsia" w:ascii="宋体" w:hAnsi="宋体" w:eastAsia="宋体" w:cs="宋体"/>
          <w:color w:val="000000" w:themeColor="text1"/>
          <w:highlight w:val="none"/>
          <w14:textFill>
            <w14:solidFill>
              <w14:schemeClr w14:val="tx1"/>
            </w14:solidFill>
          </w14:textFill>
        </w:rPr>
      </w:pPr>
    </w:p>
    <w:p w14:paraId="7268DF3D">
      <w:pPr>
        <w:adjustRightInd w:val="0"/>
        <w:spacing w:before="240" w:after="60" w:line="420" w:lineRule="atLeast"/>
        <w:jc w:val="center"/>
        <w:outlineLvl w:val="0"/>
        <w:rPr>
          <w:rFonts w:hint="eastAsia" w:ascii="宋体" w:hAnsi="宋体" w:eastAsia="宋体" w:cs="宋体"/>
          <w:color w:val="000000" w:themeColor="text1"/>
          <w:highlight w:val="none"/>
          <w:lang w:val="en-US" w:eastAsia="zh-CN"/>
          <w14:textFill>
            <w14:solidFill>
              <w14:schemeClr w14:val="tx1"/>
            </w14:solidFill>
          </w14:textFill>
        </w:rPr>
      </w:pPr>
      <w:bookmarkStart w:id="865" w:name="_Toc135648954"/>
      <w:bookmarkStart w:id="866" w:name="_Toc135922586"/>
      <w:bookmarkStart w:id="867" w:name="_Toc3330"/>
      <w:r>
        <w:rPr>
          <w:rFonts w:hint="eastAsia" w:ascii="宋体" w:hAnsi="宋体" w:eastAsia="宋体" w:cs="宋体"/>
          <w:b/>
          <w:color w:val="000000" w:themeColor="text1"/>
          <w:kern w:val="0"/>
          <w:sz w:val="32"/>
          <w:szCs w:val="20"/>
          <w:highlight w:val="none"/>
          <w14:textFill>
            <w14:solidFill>
              <w14:schemeClr w14:val="tx1"/>
            </w14:solidFill>
          </w14:textFill>
        </w:rPr>
        <w:t>七、</w:t>
      </w:r>
      <w:bookmarkEnd w:id="865"/>
      <w:bookmarkEnd w:id="866"/>
      <w:r>
        <w:rPr>
          <w:rFonts w:hint="eastAsia" w:ascii="宋体" w:hAnsi="宋体" w:eastAsia="宋体" w:cs="宋体"/>
          <w:b/>
          <w:color w:val="000000" w:themeColor="text1"/>
          <w:kern w:val="0"/>
          <w:sz w:val="32"/>
          <w:szCs w:val="20"/>
          <w:highlight w:val="none"/>
          <w:lang w:val="en-US" w:eastAsia="zh-CN"/>
          <w14:textFill>
            <w14:solidFill>
              <w14:schemeClr w14:val="tx1"/>
            </w14:solidFill>
          </w14:textFill>
        </w:rPr>
        <w:t>综合部分</w:t>
      </w:r>
      <w:bookmarkEnd w:id="867"/>
    </w:p>
    <w:p w14:paraId="3E59989C">
      <w:pPr>
        <w:rPr>
          <w:rFonts w:hint="eastAsia" w:ascii="宋体" w:hAnsi="宋体" w:eastAsia="宋体" w:cs="宋体"/>
          <w:color w:val="000000" w:themeColor="text1"/>
          <w:kern w:val="0"/>
          <w:sz w:val="20"/>
          <w:szCs w:val="20"/>
          <w:highlight w:val="none"/>
          <w14:textFill>
            <w14:solidFill>
              <w14:schemeClr w14:val="tx1"/>
            </w14:solidFill>
          </w14:textFill>
        </w:rPr>
      </w:pPr>
    </w:p>
    <w:p w14:paraId="74F33744">
      <w:pPr>
        <w:rPr>
          <w:rFonts w:hint="eastAsia" w:ascii="宋体" w:hAnsi="宋体" w:eastAsia="宋体" w:cs="宋体"/>
          <w:color w:val="000000" w:themeColor="text1"/>
          <w:kern w:val="0"/>
          <w:sz w:val="20"/>
          <w:szCs w:val="20"/>
          <w:highlight w:val="none"/>
          <w14:textFill>
            <w14:solidFill>
              <w14:schemeClr w14:val="tx1"/>
            </w14:solidFill>
          </w14:textFill>
        </w:rPr>
      </w:pPr>
    </w:p>
    <w:p w14:paraId="26D05757">
      <w:pPr>
        <w:rPr>
          <w:rFonts w:hint="eastAsia" w:ascii="宋体" w:hAnsi="宋体" w:eastAsia="宋体" w:cs="宋体"/>
          <w:color w:val="000000" w:themeColor="text1"/>
          <w:kern w:val="0"/>
          <w:sz w:val="20"/>
          <w:szCs w:val="20"/>
          <w:highlight w:val="none"/>
          <w14:textFill>
            <w14:solidFill>
              <w14:schemeClr w14:val="tx1"/>
            </w14:solidFill>
          </w14:textFill>
        </w:rPr>
      </w:pPr>
    </w:p>
    <w:p w14:paraId="708A9943">
      <w:pPr>
        <w:rPr>
          <w:rFonts w:hint="eastAsia" w:ascii="宋体" w:hAnsi="宋体" w:eastAsia="宋体" w:cs="宋体"/>
          <w:color w:val="000000" w:themeColor="text1"/>
          <w:kern w:val="0"/>
          <w:sz w:val="20"/>
          <w:szCs w:val="20"/>
          <w:highlight w:val="none"/>
          <w14:textFill>
            <w14:solidFill>
              <w14:schemeClr w14:val="tx1"/>
            </w14:solidFill>
          </w14:textFill>
        </w:rPr>
      </w:pPr>
    </w:p>
    <w:p w14:paraId="77901AF0">
      <w:pPr>
        <w:rPr>
          <w:rFonts w:hint="eastAsia" w:ascii="宋体" w:hAnsi="宋体" w:eastAsia="宋体" w:cs="宋体"/>
          <w:color w:val="000000" w:themeColor="text1"/>
          <w:kern w:val="0"/>
          <w:sz w:val="20"/>
          <w:szCs w:val="20"/>
          <w:highlight w:val="none"/>
          <w14:textFill>
            <w14:solidFill>
              <w14:schemeClr w14:val="tx1"/>
            </w14:solidFill>
          </w14:textFill>
        </w:rPr>
      </w:pPr>
    </w:p>
    <w:p w14:paraId="27D5087F">
      <w:pPr>
        <w:rPr>
          <w:rFonts w:hint="eastAsia" w:ascii="宋体" w:hAnsi="宋体" w:eastAsia="宋体" w:cs="宋体"/>
          <w:color w:val="000000" w:themeColor="text1"/>
          <w:kern w:val="0"/>
          <w:sz w:val="20"/>
          <w:szCs w:val="20"/>
          <w:highlight w:val="none"/>
          <w14:textFill>
            <w14:solidFill>
              <w14:schemeClr w14:val="tx1"/>
            </w14:solidFill>
          </w14:textFill>
        </w:rPr>
      </w:pPr>
    </w:p>
    <w:p w14:paraId="1C191F33">
      <w:pPr>
        <w:rPr>
          <w:rFonts w:hint="eastAsia" w:ascii="宋体" w:hAnsi="宋体" w:eastAsia="宋体" w:cs="宋体"/>
          <w:color w:val="000000" w:themeColor="text1"/>
          <w:kern w:val="0"/>
          <w:sz w:val="20"/>
          <w:szCs w:val="20"/>
          <w:highlight w:val="none"/>
          <w14:textFill>
            <w14:solidFill>
              <w14:schemeClr w14:val="tx1"/>
            </w14:solidFill>
          </w14:textFill>
        </w:rPr>
      </w:pPr>
    </w:p>
    <w:p w14:paraId="6CE8E2FA">
      <w:pPr>
        <w:rPr>
          <w:rFonts w:hint="eastAsia" w:ascii="宋体" w:hAnsi="宋体" w:eastAsia="宋体" w:cs="宋体"/>
          <w:color w:val="000000" w:themeColor="text1"/>
          <w:kern w:val="0"/>
          <w:sz w:val="20"/>
          <w:szCs w:val="20"/>
          <w:highlight w:val="none"/>
          <w14:textFill>
            <w14:solidFill>
              <w14:schemeClr w14:val="tx1"/>
            </w14:solidFill>
          </w14:textFill>
        </w:rPr>
      </w:pPr>
    </w:p>
    <w:p w14:paraId="62D059AF">
      <w:pPr>
        <w:rPr>
          <w:rFonts w:hint="eastAsia" w:ascii="宋体" w:hAnsi="宋体" w:eastAsia="宋体" w:cs="宋体"/>
          <w:color w:val="000000" w:themeColor="text1"/>
          <w:kern w:val="0"/>
          <w:sz w:val="20"/>
          <w:szCs w:val="20"/>
          <w:highlight w:val="none"/>
          <w14:textFill>
            <w14:solidFill>
              <w14:schemeClr w14:val="tx1"/>
            </w14:solidFill>
          </w14:textFill>
        </w:rPr>
      </w:pPr>
    </w:p>
    <w:p w14:paraId="115DBF71">
      <w:pPr>
        <w:rPr>
          <w:rFonts w:hint="eastAsia" w:ascii="宋体" w:hAnsi="宋体" w:eastAsia="宋体" w:cs="宋体"/>
          <w:color w:val="000000" w:themeColor="text1"/>
          <w:kern w:val="0"/>
          <w:sz w:val="20"/>
          <w:szCs w:val="20"/>
          <w:highlight w:val="none"/>
          <w14:textFill>
            <w14:solidFill>
              <w14:schemeClr w14:val="tx1"/>
            </w14:solidFill>
          </w14:textFill>
        </w:rPr>
      </w:pPr>
    </w:p>
    <w:p w14:paraId="12AB3B17">
      <w:pPr>
        <w:rPr>
          <w:rFonts w:hint="eastAsia" w:ascii="宋体" w:hAnsi="宋体" w:eastAsia="宋体" w:cs="宋体"/>
          <w:color w:val="000000" w:themeColor="text1"/>
          <w:kern w:val="0"/>
          <w:sz w:val="20"/>
          <w:szCs w:val="20"/>
          <w:highlight w:val="none"/>
          <w14:textFill>
            <w14:solidFill>
              <w14:schemeClr w14:val="tx1"/>
            </w14:solidFill>
          </w14:textFill>
        </w:rPr>
      </w:pPr>
    </w:p>
    <w:p w14:paraId="1B993C3D">
      <w:pPr>
        <w:rPr>
          <w:rFonts w:hint="eastAsia" w:ascii="宋体" w:hAnsi="宋体" w:eastAsia="宋体" w:cs="宋体"/>
          <w:color w:val="000000" w:themeColor="text1"/>
          <w:kern w:val="0"/>
          <w:sz w:val="20"/>
          <w:szCs w:val="20"/>
          <w:highlight w:val="none"/>
          <w14:textFill>
            <w14:solidFill>
              <w14:schemeClr w14:val="tx1"/>
            </w14:solidFill>
          </w14:textFill>
        </w:rPr>
      </w:pPr>
    </w:p>
    <w:p w14:paraId="383636BA">
      <w:pPr>
        <w:rPr>
          <w:rFonts w:hint="eastAsia" w:ascii="宋体" w:hAnsi="宋体" w:eastAsia="宋体" w:cs="宋体"/>
          <w:color w:val="000000" w:themeColor="text1"/>
          <w:kern w:val="0"/>
          <w:sz w:val="20"/>
          <w:szCs w:val="20"/>
          <w:highlight w:val="none"/>
          <w14:textFill>
            <w14:solidFill>
              <w14:schemeClr w14:val="tx1"/>
            </w14:solidFill>
          </w14:textFill>
        </w:rPr>
      </w:pPr>
    </w:p>
    <w:p w14:paraId="4507BB69">
      <w:pPr>
        <w:rPr>
          <w:rFonts w:hint="eastAsia" w:ascii="宋体" w:hAnsi="宋体" w:eastAsia="宋体" w:cs="宋体"/>
          <w:color w:val="000000" w:themeColor="text1"/>
          <w:kern w:val="0"/>
          <w:sz w:val="20"/>
          <w:szCs w:val="20"/>
          <w:highlight w:val="none"/>
          <w14:textFill>
            <w14:solidFill>
              <w14:schemeClr w14:val="tx1"/>
            </w14:solidFill>
          </w14:textFill>
        </w:rPr>
      </w:pPr>
    </w:p>
    <w:p w14:paraId="27CFE4F7">
      <w:pPr>
        <w:rPr>
          <w:rFonts w:hint="eastAsia" w:ascii="宋体" w:hAnsi="宋体" w:eastAsia="宋体" w:cs="宋体"/>
          <w:color w:val="000000" w:themeColor="text1"/>
          <w:kern w:val="0"/>
          <w:sz w:val="20"/>
          <w:szCs w:val="20"/>
          <w:highlight w:val="none"/>
          <w14:textFill>
            <w14:solidFill>
              <w14:schemeClr w14:val="tx1"/>
            </w14:solidFill>
          </w14:textFill>
        </w:rPr>
      </w:pPr>
    </w:p>
    <w:p w14:paraId="7A697C6E">
      <w:pPr>
        <w:rPr>
          <w:rFonts w:hint="eastAsia" w:ascii="宋体" w:hAnsi="宋体" w:eastAsia="宋体" w:cs="宋体"/>
          <w:color w:val="000000" w:themeColor="text1"/>
          <w:kern w:val="0"/>
          <w:sz w:val="20"/>
          <w:szCs w:val="20"/>
          <w:highlight w:val="none"/>
          <w14:textFill>
            <w14:solidFill>
              <w14:schemeClr w14:val="tx1"/>
            </w14:solidFill>
          </w14:textFill>
        </w:rPr>
      </w:pPr>
    </w:p>
    <w:p w14:paraId="23B54218">
      <w:pPr>
        <w:rPr>
          <w:rFonts w:hint="eastAsia" w:ascii="宋体" w:hAnsi="宋体" w:eastAsia="宋体" w:cs="宋体"/>
          <w:color w:val="000000" w:themeColor="text1"/>
          <w:kern w:val="0"/>
          <w:sz w:val="20"/>
          <w:szCs w:val="20"/>
          <w:highlight w:val="none"/>
          <w14:textFill>
            <w14:solidFill>
              <w14:schemeClr w14:val="tx1"/>
            </w14:solidFill>
          </w14:textFill>
        </w:rPr>
      </w:pPr>
    </w:p>
    <w:p w14:paraId="1BD6D623">
      <w:pPr>
        <w:rPr>
          <w:rFonts w:hint="eastAsia" w:ascii="宋体" w:hAnsi="宋体" w:eastAsia="宋体" w:cs="宋体"/>
          <w:color w:val="000000" w:themeColor="text1"/>
          <w:kern w:val="0"/>
          <w:sz w:val="20"/>
          <w:szCs w:val="20"/>
          <w:highlight w:val="none"/>
          <w14:textFill>
            <w14:solidFill>
              <w14:schemeClr w14:val="tx1"/>
            </w14:solidFill>
          </w14:textFill>
        </w:rPr>
      </w:pPr>
    </w:p>
    <w:p w14:paraId="4E78CC96">
      <w:pPr>
        <w:rPr>
          <w:rFonts w:hint="eastAsia" w:ascii="宋体" w:hAnsi="宋体" w:eastAsia="宋体" w:cs="宋体"/>
          <w:color w:val="000000" w:themeColor="text1"/>
          <w:kern w:val="0"/>
          <w:sz w:val="20"/>
          <w:szCs w:val="20"/>
          <w:highlight w:val="none"/>
          <w14:textFill>
            <w14:solidFill>
              <w14:schemeClr w14:val="tx1"/>
            </w14:solidFill>
          </w14:textFill>
        </w:rPr>
      </w:pPr>
    </w:p>
    <w:p w14:paraId="427DC9FB">
      <w:pPr>
        <w:rPr>
          <w:rFonts w:hint="eastAsia" w:ascii="宋体" w:hAnsi="宋体" w:eastAsia="宋体" w:cs="宋体"/>
          <w:color w:val="000000" w:themeColor="text1"/>
          <w:kern w:val="0"/>
          <w:sz w:val="20"/>
          <w:szCs w:val="20"/>
          <w:highlight w:val="none"/>
          <w14:textFill>
            <w14:solidFill>
              <w14:schemeClr w14:val="tx1"/>
            </w14:solidFill>
          </w14:textFill>
        </w:rPr>
      </w:pPr>
    </w:p>
    <w:p w14:paraId="4A43B893">
      <w:pPr>
        <w:rPr>
          <w:rFonts w:hint="eastAsia" w:ascii="宋体" w:hAnsi="宋体" w:eastAsia="宋体" w:cs="宋体"/>
          <w:color w:val="000000" w:themeColor="text1"/>
          <w:kern w:val="0"/>
          <w:sz w:val="20"/>
          <w:szCs w:val="20"/>
          <w:highlight w:val="none"/>
          <w14:textFill>
            <w14:solidFill>
              <w14:schemeClr w14:val="tx1"/>
            </w14:solidFill>
          </w14:textFill>
        </w:rPr>
      </w:pPr>
    </w:p>
    <w:p w14:paraId="3438BF49">
      <w:pPr>
        <w:rPr>
          <w:rFonts w:hint="eastAsia" w:ascii="宋体" w:hAnsi="宋体" w:eastAsia="宋体" w:cs="宋体"/>
          <w:color w:val="000000" w:themeColor="text1"/>
          <w:kern w:val="0"/>
          <w:sz w:val="20"/>
          <w:szCs w:val="20"/>
          <w:highlight w:val="none"/>
          <w14:textFill>
            <w14:solidFill>
              <w14:schemeClr w14:val="tx1"/>
            </w14:solidFill>
          </w14:textFill>
        </w:rPr>
      </w:pPr>
    </w:p>
    <w:p w14:paraId="049426A0">
      <w:pPr>
        <w:rPr>
          <w:rFonts w:hint="eastAsia" w:ascii="宋体" w:hAnsi="宋体" w:eastAsia="宋体" w:cs="宋体"/>
          <w:color w:val="000000" w:themeColor="text1"/>
          <w:kern w:val="0"/>
          <w:sz w:val="20"/>
          <w:szCs w:val="20"/>
          <w:highlight w:val="none"/>
          <w14:textFill>
            <w14:solidFill>
              <w14:schemeClr w14:val="tx1"/>
            </w14:solidFill>
          </w14:textFill>
        </w:rPr>
      </w:pPr>
    </w:p>
    <w:p w14:paraId="478C19BF">
      <w:pPr>
        <w:rPr>
          <w:rFonts w:hint="eastAsia" w:ascii="宋体" w:hAnsi="宋体" w:eastAsia="宋体" w:cs="宋体"/>
          <w:color w:val="000000" w:themeColor="text1"/>
          <w:kern w:val="0"/>
          <w:sz w:val="20"/>
          <w:szCs w:val="20"/>
          <w:highlight w:val="none"/>
          <w14:textFill>
            <w14:solidFill>
              <w14:schemeClr w14:val="tx1"/>
            </w14:solidFill>
          </w14:textFill>
        </w:rPr>
      </w:pPr>
    </w:p>
    <w:p w14:paraId="1BAFFBB6">
      <w:pPr>
        <w:rPr>
          <w:rFonts w:hint="eastAsia" w:ascii="宋体" w:hAnsi="宋体" w:eastAsia="宋体" w:cs="宋体"/>
          <w:color w:val="000000" w:themeColor="text1"/>
          <w:kern w:val="0"/>
          <w:sz w:val="20"/>
          <w:szCs w:val="20"/>
          <w:highlight w:val="none"/>
          <w14:textFill>
            <w14:solidFill>
              <w14:schemeClr w14:val="tx1"/>
            </w14:solidFill>
          </w14:textFill>
        </w:rPr>
      </w:pPr>
    </w:p>
    <w:p w14:paraId="36444A1C">
      <w:pPr>
        <w:rPr>
          <w:rFonts w:hint="eastAsia" w:ascii="宋体" w:hAnsi="宋体" w:eastAsia="宋体" w:cs="宋体"/>
          <w:color w:val="000000" w:themeColor="text1"/>
          <w:kern w:val="0"/>
          <w:sz w:val="20"/>
          <w:szCs w:val="20"/>
          <w:highlight w:val="none"/>
          <w14:textFill>
            <w14:solidFill>
              <w14:schemeClr w14:val="tx1"/>
            </w14:solidFill>
          </w14:textFill>
        </w:rPr>
      </w:pPr>
    </w:p>
    <w:p w14:paraId="71A8034B">
      <w:pPr>
        <w:rPr>
          <w:rFonts w:hint="eastAsia" w:ascii="宋体" w:hAnsi="宋体" w:eastAsia="宋体" w:cs="宋体"/>
          <w:color w:val="000000" w:themeColor="text1"/>
          <w:kern w:val="0"/>
          <w:sz w:val="20"/>
          <w:szCs w:val="20"/>
          <w:highlight w:val="none"/>
          <w14:textFill>
            <w14:solidFill>
              <w14:schemeClr w14:val="tx1"/>
            </w14:solidFill>
          </w14:textFill>
        </w:rPr>
      </w:pPr>
    </w:p>
    <w:p w14:paraId="719D72FD">
      <w:pPr>
        <w:rPr>
          <w:rFonts w:hint="eastAsia" w:ascii="宋体" w:hAnsi="宋体" w:eastAsia="宋体" w:cs="宋体"/>
          <w:color w:val="000000" w:themeColor="text1"/>
          <w:kern w:val="0"/>
          <w:sz w:val="20"/>
          <w:szCs w:val="20"/>
          <w:highlight w:val="none"/>
          <w14:textFill>
            <w14:solidFill>
              <w14:schemeClr w14:val="tx1"/>
            </w14:solidFill>
          </w14:textFill>
        </w:rPr>
      </w:pPr>
    </w:p>
    <w:p w14:paraId="3F8832E6">
      <w:pPr>
        <w:rPr>
          <w:rFonts w:hint="eastAsia" w:ascii="宋体" w:hAnsi="宋体" w:eastAsia="宋体" w:cs="宋体"/>
          <w:color w:val="000000" w:themeColor="text1"/>
          <w:kern w:val="0"/>
          <w:sz w:val="20"/>
          <w:szCs w:val="20"/>
          <w:highlight w:val="none"/>
          <w14:textFill>
            <w14:solidFill>
              <w14:schemeClr w14:val="tx1"/>
            </w14:solidFill>
          </w14:textFill>
        </w:rPr>
      </w:pPr>
    </w:p>
    <w:p w14:paraId="4BDDC7B9">
      <w:pPr>
        <w:rPr>
          <w:rFonts w:hint="eastAsia" w:ascii="宋体" w:hAnsi="宋体" w:eastAsia="宋体" w:cs="宋体"/>
          <w:color w:val="000000" w:themeColor="text1"/>
          <w:kern w:val="0"/>
          <w:sz w:val="20"/>
          <w:szCs w:val="20"/>
          <w:highlight w:val="none"/>
          <w14:textFill>
            <w14:solidFill>
              <w14:schemeClr w14:val="tx1"/>
            </w14:solidFill>
          </w14:textFill>
        </w:rPr>
      </w:pPr>
    </w:p>
    <w:p w14:paraId="4447FED6">
      <w:pPr>
        <w:rPr>
          <w:rFonts w:hint="eastAsia" w:ascii="宋体" w:hAnsi="宋体" w:eastAsia="宋体" w:cs="宋体"/>
          <w:color w:val="000000" w:themeColor="text1"/>
          <w:kern w:val="0"/>
          <w:sz w:val="20"/>
          <w:szCs w:val="20"/>
          <w:highlight w:val="none"/>
          <w14:textFill>
            <w14:solidFill>
              <w14:schemeClr w14:val="tx1"/>
            </w14:solidFill>
          </w14:textFill>
        </w:rPr>
      </w:pPr>
    </w:p>
    <w:p w14:paraId="1B21136F">
      <w:pPr>
        <w:rPr>
          <w:rFonts w:hint="eastAsia" w:ascii="宋体" w:hAnsi="宋体" w:eastAsia="宋体" w:cs="宋体"/>
          <w:color w:val="000000" w:themeColor="text1"/>
          <w:kern w:val="0"/>
          <w:sz w:val="20"/>
          <w:szCs w:val="20"/>
          <w:highlight w:val="none"/>
          <w14:textFill>
            <w14:solidFill>
              <w14:schemeClr w14:val="tx1"/>
            </w14:solidFill>
          </w14:textFill>
        </w:rPr>
      </w:pPr>
    </w:p>
    <w:p w14:paraId="53EA4CCA">
      <w:pPr>
        <w:rPr>
          <w:rFonts w:hint="eastAsia" w:ascii="宋体" w:hAnsi="宋体" w:eastAsia="宋体" w:cs="宋体"/>
          <w:color w:val="000000" w:themeColor="text1"/>
          <w:kern w:val="0"/>
          <w:sz w:val="20"/>
          <w:szCs w:val="20"/>
          <w:highlight w:val="none"/>
          <w14:textFill>
            <w14:solidFill>
              <w14:schemeClr w14:val="tx1"/>
            </w14:solidFill>
          </w14:textFill>
        </w:rPr>
      </w:pPr>
    </w:p>
    <w:p w14:paraId="1CB9E207">
      <w:pPr>
        <w:rPr>
          <w:rFonts w:hint="eastAsia" w:ascii="宋体" w:hAnsi="宋体" w:eastAsia="宋体" w:cs="宋体"/>
          <w:color w:val="000000" w:themeColor="text1"/>
          <w:kern w:val="0"/>
          <w:sz w:val="20"/>
          <w:szCs w:val="20"/>
          <w:highlight w:val="none"/>
          <w14:textFill>
            <w14:solidFill>
              <w14:schemeClr w14:val="tx1"/>
            </w14:solidFill>
          </w14:textFill>
        </w:rPr>
      </w:pPr>
    </w:p>
    <w:p w14:paraId="479120D3">
      <w:pPr>
        <w:rPr>
          <w:rFonts w:hint="eastAsia" w:ascii="宋体" w:hAnsi="宋体" w:eastAsia="宋体" w:cs="宋体"/>
          <w:color w:val="000000" w:themeColor="text1"/>
          <w:kern w:val="0"/>
          <w:sz w:val="20"/>
          <w:szCs w:val="20"/>
          <w:highlight w:val="none"/>
          <w14:textFill>
            <w14:solidFill>
              <w14:schemeClr w14:val="tx1"/>
            </w14:solidFill>
          </w14:textFill>
        </w:rPr>
      </w:pPr>
    </w:p>
    <w:p w14:paraId="6C9D8971">
      <w:pPr>
        <w:rPr>
          <w:rFonts w:hint="eastAsia" w:ascii="宋体" w:hAnsi="宋体" w:eastAsia="宋体" w:cs="宋体"/>
          <w:color w:val="000000" w:themeColor="text1"/>
          <w:kern w:val="0"/>
          <w:sz w:val="20"/>
          <w:szCs w:val="20"/>
          <w:highlight w:val="none"/>
          <w14:textFill>
            <w14:solidFill>
              <w14:schemeClr w14:val="tx1"/>
            </w14:solidFill>
          </w14:textFill>
        </w:rPr>
      </w:pPr>
    </w:p>
    <w:p w14:paraId="04ADC6CA">
      <w:pPr>
        <w:rPr>
          <w:rFonts w:hint="eastAsia" w:ascii="宋体" w:hAnsi="宋体" w:eastAsia="宋体" w:cs="宋体"/>
          <w:color w:val="000000" w:themeColor="text1"/>
          <w:kern w:val="0"/>
          <w:sz w:val="20"/>
          <w:szCs w:val="20"/>
          <w:highlight w:val="none"/>
          <w14:textFill>
            <w14:solidFill>
              <w14:schemeClr w14:val="tx1"/>
            </w14:solidFill>
          </w14:textFill>
        </w:rPr>
      </w:pPr>
    </w:p>
    <w:p w14:paraId="697F403E">
      <w:pPr>
        <w:rPr>
          <w:rFonts w:hint="eastAsia" w:ascii="宋体" w:hAnsi="宋体" w:eastAsia="宋体" w:cs="宋体"/>
          <w:color w:val="000000" w:themeColor="text1"/>
          <w:kern w:val="0"/>
          <w:sz w:val="20"/>
          <w:szCs w:val="20"/>
          <w:highlight w:val="none"/>
          <w14:textFill>
            <w14:solidFill>
              <w14:schemeClr w14:val="tx1"/>
            </w14:solidFill>
          </w14:textFill>
        </w:rPr>
      </w:pPr>
    </w:p>
    <w:p w14:paraId="318D6B2E">
      <w:pPr>
        <w:rPr>
          <w:rFonts w:hint="eastAsia" w:ascii="宋体" w:hAnsi="宋体" w:eastAsia="宋体" w:cs="宋体"/>
          <w:color w:val="000000" w:themeColor="text1"/>
          <w:kern w:val="0"/>
          <w:sz w:val="20"/>
          <w:szCs w:val="20"/>
          <w:highlight w:val="none"/>
          <w14:textFill>
            <w14:solidFill>
              <w14:schemeClr w14:val="tx1"/>
            </w14:solidFill>
          </w14:textFill>
        </w:rPr>
      </w:pPr>
    </w:p>
    <w:p w14:paraId="51BA59D3">
      <w:pPr>
        <w:rPr>
          <w:rFonts w:hint="eastAsia" w:ascii="宋体" w:hAnsi="宋体" w:eastAsia="宋体" w:cs="宋体"/>
          <w:color w:val="000000" w:themeColor="text1"/>
          <w:kern w:val="0"/>
          <w:sz w:val="20"/>
          <w:szCs w:val="20"/>
          <w:highlight w:val="none"/>
          <w14:textFill>
            <w14:solidFill>
              <w14:schemeClr w14:val="tx1"/>
            </w14:solidFill>
          </w14:textFill>
        </w:rPr>
      </w:pPr>
    </w:p>
    <w:p w14:paraId="372DE408">
      <w:pPr>
        <w:keepNext/>
        <w:keepLines/>
        <w:spacing w:before="340" w:after="330" w:line="360" w:lineRule="auto"/>
        <w:jc w:val="center"/>
        <w:outlineLvl w:val="0"/>
        <w:rPr>
          <w:rFonts w:hint="eastAsia" w:ascii="宋体" w:hAnsi="宋体" w:eastAsia="宋体" w:cs="宋体"/>
          <w:b/>
          <w:bCs/>
          <w:color w:val="000000" w:themeColor="text1"/>
          <w:kern w:val="44"/>
          <w:sz w:val="32"/>
          <w:szCs w:val="32"/>
          <w:highlight w:val="none"/>
          <w14:textFill>
            <w14:solidFill>
              <w14:schemeClr w14:val="tx1"/>
            </w14:solidFill>
          </w14:textFill>
        </w:rPr>
      </w:pPr>
      <w:bookmarkStart w:id="868" w:name="_Toc28263"/>
      <w:bookmarkStart w:id="869" w:name="_Toc135922587"/>
      <w:bookmarkStart w:id="870" w:name="_Toc134619356"/>
      <w:r>
        <w:rPr>
          <w:rFonts w:hint="eastAsia" w:ascii="宋体" w:hAnsi="宋体" w:eastAsia="宋体" w:cs="宋体"/>
          <w:b/>
          <w:bCs/>
          <w:color w:val="000000" w:themeColor="text1"/>
          <w:kern w:val="44"/>
          <w:sz w:val="32"/>
          <w:szCs w:val="32"/>
          <w:highlight w:val="none"/>
          <w14:textFill>
            <w14:solidFill>
              <w14:schemeClr w14:val="tx1"/>
            </w14:solidFill>
          </w14:textFill>
        </w:rPr>
        <w:t>八、投标承诺函</w:t>
      </w:r>
      <w:bookmarkEnd w:id="868"/>
      <w:bookmarkEnd w:id="869"/>
      <w:bookmarkEnd w:id="870"/>
    </w:p>
    <w:p w14:paraId="1F02BA39">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szCs w:val="21"/>
          <w:highlight w:val="none"/>
          <w14:textFill>
            <w14:solidFill>
              <w14:schemeClr w14:val="tx1"/>
            </w14:solidFill>
          </w14:textFill>
        </w:rPr>
        <w:t>（采购人）</w:t>
      </w:r>
    </w:p>
    <w:p w14:paraId="19D30DC3">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我公司作为本次采购项目的投标人，根据招标文件要求，现郑重承诺如下：</w:t>
      </w:r>
    </w:p>
    <w:p w14:paraId="3E3089F8">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一、完全接受和满足本项目招标文件中规定的实质性要求，如对招标文件有异议，已经在投标文件递交截止时间届满前依法进行维权，不存在对招标文件有异议同时又参加投标以求侥幸中标或者为实现其他非法目的的行为。</w:t>
      </w:r>
    </w:p>
    <w:p w14:paraId="4B70F947">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二、参加本次招标采购活动，不存在与单位负责人为同一人或者存在直接控股、管理关系的其他供应商参与同一合同项下的政府采购活动的行为。</w:t>
      </w:r>
    </w:p>
    <w:p w14:paraId="74B1CAB5">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三、参加本次招标采购活动，不存在为采购项目提供整体设计、规范编制或者项目管理、监理、检测等服务的行为。</w:t>
      </w:r>
    </w:p>
    <w:p w14:paraId="10454575">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四、参加本次招标采购活动，不存在和其他供应商在同一合同项下的采购项目中，同时委托同一个自然人、同一单位的人员及政府采购法规定的应当回避的人作为代理人的行为。</w:t>
      </w:r>
    </w:p>
    <w:p w14:paraId="43B46AE8">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五、投标文件中提供的能够给予贵单位带来优惠、好处的任何材料资料和技术、服务、商务等响应承诺情况都是真实的、有效的、合法的。</w:t>
      </w:r>
    </w:p>
    <w:p w14:paraId="70E234B8">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六、如本项目评标过程中需要提供样品，则我公司提供的样品即为中标后将要提供的中标产品，我公司对提供样品的性能和质量负责，因样品存在缺陷或者不符合招标文件要求导致未能中标的，我公司愿意承担相应不利后果。</w:t>
      </w:r>
    </w:p>
    <w:p w14:paraId="1152275D">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七、存在以下行为之一的愿意接受相关部门的处理：</w:t>
      </w:r>
    </w:p>
    <w:p w14:paraId="16F6C391">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（一）投标有效期内撤销投标文件的；</w:t>
      </w:r>
    </w:p>
    <w:p w14:paraId="049B06E4">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（二）在采购人确定中标人以前放弃中标候选资格的；</w:t>
      </w:r>
    </w:p>
    <w:p w14:paraId="48EB4770">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（三）由于中标人的原因未能按照招标文件的规定与采购人签订合同；</w:t>
      </w:r>
    </w:p>
    <w:p w14:paraId="5DCFA93A">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（四）由于中标人的原因未能按照招标文件的规定交纳履约保证金；</w:t>
      </w:r>
    </w:p>
    <w:p w14:paraId="582B9BB7">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（五）在投标文件中提供虚假材料谋取中标；</w:t>
      </w:r>
    </w:p>
    <w:p w14:paraId="4AB1FAE1">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（六）与采购人、其他供应商或者采购代理机构恶意串通的；</w:t>
      </w:r>
    </w:p>
    <w:p w14:paraId="6ED1961E">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（七）投标有效期内，供应商在政府采购活动中有违法、违规、违纪行为。</w:t>
      </w:r>
    </w:p>
    <w:p w14:paraId="00FCED93">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 xml:space="preserve">  由此产生的一切法律后果和责任由我公司承担。我公司声明放弃对此提出任何异议和追索的权利。</w:t>
      </w:r>
    </w:p>
    <w:p w14:paraId="2EBAF3A5">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 xml:space="preserve">  本公司对上述承诺的内容事项真实性负责。如经查实上述承诺的内容事项存在虚假，我公司愿意接受以提供虚假材料谋取中标追究法律责任。</w:t>
      </w:r>
    </w:p>
    <w:p w14:paraId="08153202">
      <w:pPr>
        <w:widowControl/>
        <w:spacing w:before="100" w:after="100" w:line="500" w:lineRule="exact"/>
        <w:ind w:firstLine="315" w:firstLineChars="150"/>
        <w:rPr>
          <w:rFonts w:hint="eastAsia" w:ascii="宋体" w:hAnsi="宋体" w:eastAsia="宋体" w:cs="宋体"/>
          <w:color w:val="000000" w:themeColor="text1"/>
          <w:kern w:val="0"/>
          <w:szCs w:val="21"/>
          <w:highlight w:val="none"/>
          <w14:textFill>
            <w14:solidFill>
              <w14:schemeClr w14:val="tx1"/>
            </w14:solidFill>
          </w14:textFill>
        </w:rPr>
      </w:pPr>
    </w:p>
    <w:p w14:paraId="0D681878">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（电子印章）</w:t>
      </w:r>
    </w:p>
    <w:p w14:paraId="4FBA3752">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法定代表人或其委托代理人：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（电子印章）</w:t>
      </w:r>
    </w:p>
    <w:p w14:paraId="23937562">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日期：</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p>
    <w:p w14:paraId="0499A1D7">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6D323FB5">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04A1F3F1">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6478708A">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46CBEA14">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4730F38C">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77FD8FA3">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4B45EE3D">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70099250">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327C1B76">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74DC20B2">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4F55A562">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6FB1DD3E">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2DB64333">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0E91C5FB">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27609F6C">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607B75C5">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3BC55097">
      <w:pPr>
        <w:spacing w:line="360" w:lineRule="auto"/>
        <w:ind w:firstLine="2125" w:firstLineChars="1012"/>
        <w:rPr>
          <w:rFonts w:hint="eastAsia" w:ascii="宋体" w:hAnsi="宋体" w:eastAsia="宋体" w:cs="宋体"/>
          <w:color w:val="000000" w:themeColor="text1"/>
          <w:szCs w:val="21"/>
          <w:highlight w:val="none"/>
          <w14:textFill>
            <w14:solidFill>
              <w14:schemeClr w14:val="tx1"/>
            </w14:solidFill>
          </w14:textFill>
        </w:rPr>
      </w:pPr>
    </w:p>
    <w:p w14:paraId="79E3CE3D">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73339858">
      <w:pPr>
        <w:keepNext/>
        <w:keepLines/>
        <w:spacing w:before="340" w:after="330" w:line="360" w:lineRule="auto"/>
        <w:jc w:val="center"/>
        <w:outlineLvl w:val="0"/>
        <w:rPr>
          <w:rFonts w:hint="eastAsia" w:ascii="宋体" w:hAnsi="宋体" w:eastAsia="宋体" w:cs="宋体"/>
          <w:b/>
          <w:bCs/>
          <w:color w:val="000000" w:themeColor="text1"/>
          <w:kern w:val="44"/>
          <w:sz w:val="28"/>
          <w:szCs w:val="28"/>
          <w:highlight w:val="none"/>
          <w14:textFill>
            <w14:solidFill>
              <w14:schemeClr w14:val="tx1"/>
            </w14:solidFill>
          </w14:textFill>
        </w:rPr>
      </w:pPr>
      <w:bookmarkStart w:id="871" w:name="_Toc15882"/>
      <w:bookmarkStart w:id="872" w:name="_Toc135922589"/>
      <w:r>
        <w:rPr>
          <w:rFonts w:hint="eastAsia" w:ascii="宋体" w:hAnsi="宋体" w:eastAsia="宋体" w:cs="宋体"/>
          <w:b/>
          <w:bCs/>
          <w:color w:val="000000" w:themeColor="text1"/>
          <w:kern w:val="44"/>
          <w:sz w:val="32"/>
          <w:szCs w:val="32"/>
          <w:highlight w:val="none"/>
          <w14:textFill>
            <w14:solidFill>
              <w14:schemeClr w14:val="tx1"/>
            </w14:solidFill>
          </w14:textFill>
        </w:rPr>
        <w:t>九、投标人认为需要提交的其它材料</w:t>
      </w:r>
      <w:bookmarkEnd w:id="871"/>
      <w:bookmarkEnd w:id="872"/>
    </w:p>
    <w:p w14:paraId="40FBE3AB">
      <w:pPr>
        <w:tabs>
          <w:tab w:val="left" w:pos="1110"/>
        </w:tabs>
        <w:rPr>
          <w:rFonts w:hint="eastAsia" w:ascii="宋体" w:hAnsi="宋体" w:eastAsia="宋体" w:cs="宋体"/>
          <w:color w:val="000000" w:themeColor="text1"/>
          <w:highlight w:val="none"/>
          <w14:textFill>
            <w14:solidFill>
              <w14:schemeClr w14:val="tx1"/>
            </w14:solidFill>
          </w14:textFill>
        </w:rPr>
      </w:pPr>
    </w:p>
    <w:p w14:paraId="3761B77D">
      <w:pPr>
        <w:tabs>
          <w:tab w:val="left" w:pos="1110"/>
        </w:tabs>
        <w:rPr>
          <w:rFonts w:hint="eastAsia" w:ascii="宋体" w:hAnsi="宋体" w:eastAsia="宋体" w:cs="宋体"/>
          <w:color w:val="000000" w:themeColor="text1"/>
          <w:highlight w:val="none"/>
          <w14:textFill>
            <w14:solidFill>
              <w14:schemeClr w14:val="tx1"/>
            </w14:solidFill>
          </w14:textFill>
        </w:rPr>
      </w:pPr>
    </w:p>
    <w:p w14:paraId="17030EFC">
      <w:pPr>
        <w:tabs>
          <w:tab w:val="left" w:pos="1110"/>
        </w:tabs>
        <w:rPr>
          <w:rFonts w:hint="eastAsia" w:ascii="宋体" w:hAnsi="宋体" w:eastAsia="宋体" w:cs="宋体"/>
          <w:color w:val="000000" w:themeColor="text1"/>
          <w:highlight w:val="none"/>
          <w14:textFill>
            <w14:solidFill>
              <w14:schemeClr w14:val="tx1"/>
            </w14:solidFill>
          </w14:textFill>
        </w:rPr>
      </w:pPr>
    </w:p>
    <w:p w14:paraId="078F3616">
      <w:pPr>
        <w:tabs>
          <w:tab w:val="left" w:pos="1110"/>
        </w:tabs>
        <w:rPr>
          <w:rFonts w:hint="eastAsia" w:ascii="宋体" w:hAnsi="宋体" w:eastAsia="宋体" w:cs="宋体"/>
          <w:color w:val="000000" w:themeColor="text1"/>
          <w:highlight w:val="none"/>
          <w14:textFill>
            <w14:solidFill>
              <w14:schemeClr w14:val="tx1"/>
            </w14:solidFill>
          </w14:textFill>
        </w:rPr>
      </w:pPr>
    </w:p>
    <w:p w14:paraId="34C56809">
      <w:pPr>
        <w:tabs>
          <w:tab w:val="left" w:pos="1110"/>
        </w:tabs>
        <w:rPr>
          <w:rFonts w:hint="eastAsia" w:ascii="宋体" w:hAnsi="宋体" w:eastAsia="宋体" w:cs="宋体"/>
          <w:color w:val="000000" w:themeColor="text1"/>
          <w:highlight w:val="none"/>
          <w14:textFill>
            <w14:solidFill>
              <w14:schemeClr w14:val="tx1"/>
            </w14:solidFill>
          </w14:textFill>
        </w:rPr>
      </w:pPr>
    </w:p>
    <w:p w14:paraId="215091DD">
      <w:pPr>
        <w:tabs>
          <w:tab w:val="left" w:pos="1110"/>
        </w:tabs>
        <w:rPr>
          <w:rFonts w:hint="eastAsia" w:ascii="宋体" w:hAnsi="宋体" w:eastAsia="宋体" w:cs="宋体"/>
          <w:color w:val="000000" w:themeColor="text1"/>
          <w:highlight w:val="none"/>
          <w14:textFill>
            <w14:solidFill>
              <w14:schemeClr w14:val="tx1"/>
            </w14:solidFill>
          </w14:textFill>
        </w:rPr>
      </w:pPr>
    </w:p>
    <w:p w14:paraId="16A2BAC9">
      <w:pPr>
        <w:tabs>
          <w:tab w:val="left" w:pos="1110"/>
        </w:tabs>
        <w:rPr>
          <w:rFonts w:hint="eastAsia" w:ascii="宋体" w:hAnsi="宋体" w:eastAsia="宋体" w:cs="宋体"/>
          <w:color w:val="000000" w:themeColor="text1"/>
          <w:highlight w:val="none"/>
          <w14:textFill>
            <w14:solidFill>
              <w14:schemeClr w14:val="tx1"/>
            </w14:solidFill>
          </w14:textFill>
        </w:rPr>
      </w:pPr>
    </w:p>
    <w:p w14:paraId="62DCFEB4">
      <w:pPr>
        <w:tabs>
          <w:tab w:val="left" w:pos="1110"/>
        </w:tabs>
        <w:rPr>
          <w:rFonts w:hint="eastAsia" w:ascii="宋体" w:hAnsi="宋体" w:eastAsia="宋体" w:cs="宋体"/>
          <w:color w:val="000000" w:themeColor="text1"/>
          <w:highlight w:val="none"/>
          <w14:textFill>
            <w14:solidFill>
              <w14:schemeClr w14:val="tx1"/>
            </w14:solidFill>
          </w14:textFill>
        </w:rPr>
      </w:pPr>
    </w:p>
    <w:p w14:paraId="1964AA04">
      <w:pPr>
        <w:tabs>
          <w:tab w:val="left" w:pos="1110"/>
        </w:tabs>
        <w:rPr>
          <w:rFonts w:hint="eastAsia" w:ascii="宋体" w:hAnsi="宋体" w:eastAsia="宋体" w:cs="宋体"/>
          <w:color w:val="000000" w:themeColor="text1"/>
          <w:highlight w:val="none"/>
          <w14:textFill>
            <w14:solidFill>
              <w14:schemeClr w14:val="tx1"/>
            </w14:solidFill>
          </w14:textFill>
        </w:rPr>
      </w:pPr>
    </w:p>
    <w:p w14:paraId="05B7E89E">
      <w:pPr>
        <w:tabs>
          <w:tab w:val="left" w:pos="1110"/>
        </w:tabs>
        <w:rPr>
          <w:rFonts w:hint="eastAsia" w:ascii="宋体" w:hAnsi="宋体" w:eastAsia="宋体" w:cs="宋体"/>
          <w:color w:val="000000" w:themeColor="text1"/>
          <w:highlight w:val="none"/>
          <w14:textFill>
            <w14:solidFill>
              <w14:schemeClr w14:val="tx1"/>
            </w14:solidFill>
          </w14:textFill>
        </w:rPr>
      </w:pPr>
    </w:p>
    <w:p w14:paraId="2B23DAB8">
      <w:pPr>
        <w:tabs>
          <w:tab w:val="left" w:pos="1110"/>
        </w:tabs>
        <w:rPr>
          <w:rFonts w:hint="eastAsia" w:ascii="宋体" w:hAnsi="宋体" w:eastAsia="宋体" w:cs="宋体"/>
          <w:color w:val="000000" w:themeColor="text1"/>
          <w:highlight w:val="none"/>
          <w14:textFill>
            <w14:solidFill>
              <w14:schemeClr w14:val="tx1"/>
            </w14:solidFill>
          </w14:textFill>
        </w:rPr>
      </w:pPr>
    </w:p>
    <w:p w14:paraId="04E715EB">
      <w:pPr>
        <w:tabs>
          <w:tab w:val="left" w:pos="1110"/>
        </w:tabs>
        <w:rPr>
          <w:rFonts w:hint="eastAsia" w:ascii="宋体" w:hAnsi="宋体" w:eastAsia="宋体" w:cs="宋体"/>
          <w:color w:val="000000" w:themeColor="text1"/>
          <w:highlight w:val="none"/>
          <w14:textFill>
            <w14:solidFill>
              <w14:schemeClr w14:val="tx1"/>
            </w14:solidFill>
          </w14:textFill>
        </w:rPr>
      </w:pPr>
    </w:p>
    <w:p w14:paraId="2A8EA243">
      <w:pPr>
        <w:keepNext/>
        <w:keepLines/>
        <w:spacing w:before="260" w:after="260" w:line="412" w:lineRule="auto"/>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r>
        <w:rPr>
          <w:rFonts w:hint="eastAsia" w:ascii="宋体" w:hAnsi="宋体" w:eastAsia="宋体" w:cs="宋体"/>
          <w:b/>
          <w:bCs/>
          <w:color w:val="000000" w:themeColor="text1"/>
          <w:kern w:val="0"/>
          <w:sz w:val="32"/>
          <w:szCs w:val="32"/>
          <w:highlight w:val="none"/>
          <w14:textFill>
            <w14:solidFill>
              <w14:schemeClr w14:val="tx1"/>
            </w14:solidFill>
          </w14:textFill>
        </w:rPr>
        <w:t xml:space="preserve">附件1 </w:t>
      </w:r>
    </w:p>
    <w:p w14:paraId="38C670CB">
      <w:pPr>
        <w:widowControl/>
        <w:spacing w:line="360" w:lineRule="auto"/>
        <w:ind w:right="-298" w:rightChars="-142"/>
        <w:jc w:val="center"/>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 w:val="32"/>
          <w:szCs w:val="32"/>
          <w:highlight w:val="none"/>
          <w14:textFill>
            <w14:solidFill>
              <w14:schemeClr w14:val="tx1"/>
            </w14:solidFill>
          </w14:textFill>
        </w:rPr>
        <w:t>中小企业声明函</w:t>
      </w:r>
    </w:p>
    <w:p w14:paraId="233FB477">
      <w:pPr>
        <w:widowControl/>
        <w:spacing w:line="360" w:lineRule="auto"/>
        <w:ind w:right="-298" w:rightChars="-142" w:firstLine="371" w:firstLineChars="177"/>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本公司郑重声明，根据《政府采购促进中小企业发展管理办法》（财库﹝2020﹞46号）的规定，本公司参加</w:t>
      </w:r>
      <w:r>
        <w:rPr>
          <w:rFonts w:hint="eastAsia" w:ascii="宋体" w:hAnsi="宋体" w:eastAsia="宋体" w:cs="宋体"/>
          <w:color w:val="000000" w:themeColor="text1"/>
          <w:kern w:val="0"/>
          <w:szCs w:val="21"/>
          <w:highlight w:val="none"/>
          <w:u w:val="single"/>
          <w14:textFill>
            <w14:solidFill>
              <w14:schemeClr w14:val="tx1"/>
            </w14:solidFill>
          </w14:textFill>
        </w:rPr>
        <w:t>（单位名称）</w:t>
      </w:r>
      <w:r>
        <w:rPr>
          <w:rFonts w:hint="eastAsia" w:ascii="宋体" w:hAnsi="宋体" w:eastAsia="宋体" w:cs="宋体"/>
          <w:color w:val="000000" w:themeColor="text1"/>
          <w:kern w:val="0"/>
          <w:szCs w:val="21"/>
          <w:highlight w:val="none"/>
          <w14:textFill>
            <w14:solidFill>
              <w14:schemeClr w14:val="tx1"/>
            </w14:solidFill>
          </w14:textFill>
        </w:rPr>
        <w:t>的</w:t>
      </w:r>
      <w:r>
        <w:rPr>
          <w:rFonts w:hint="eastAsia" w:ascii="宋体" w:hAnsi="宋体" w:eastAsia="宋体" w:cs="宋体"/>
          <w:color w:val="000000" w:themeColor="text1"/>
          <w:kern w:val="0"/>
          <w:szCs w:val="21"/>
          <w:highlight w:val="none"/>
          <w:u w:val="single"/>
          <w14:textFill>
            <w14:solidFill>
              <w14:schemeClr w14:val="tx1"/>
            </w14:solidFill>
          </w14:textFill>
        </w:rPr>
        <w:t>（项目名称）</w:t>
      </w:r>
      <w:r>
        <w:rPr>
          <w:rFonts w:hint="eastAsia" w:ascii="宋体" w:hAnsi="宋体" w:eastAsia="宋体" w:cs="宋体"/>
          <w:color w:val="000000" w:themeColor="text1"/>
          <w:kern w:val="0"/>
          <w:szCs w:val="21"/>
          <w:highlight w:val="none"/>
          <w14:textFill>
            <w14:solidFill>
              <w14:schemeClr w14:val="tx1"/>
            </w14:solidFill>
          </w14:textFill>
        </w:rPr>
        <w:t>采购活动，提供的货物全部由符合政策要求的中小企业制造。相关企业的具体情况如下：</w:t>
      </w:r>
    </w:p>
    <w:p w14:paraId="515A9F34">
      <w:pPr>
        <w:widowControl/>
        <w:spacing w:line="360" w:lineRule="auto"/>
        <w:ind w:right="-298" w:rightChars="-142" w:firstLine="371" w:firstLineChars="177"/>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w:t>
      </w:r>
      <w:r>
        <w:rPr>
          <w:rFonts w:hint="eastAsia" w:ascii="宋体" w:hAnsi="宋体" w:eastAsia="宋体" w:cs="宋体"/>
          <w:color w:val="000000" w:themeColor="text1"/>
          <w:kern w:val="0"/>
          <w:szCs w:val="21"/>
          <w:highlight w:val="none"/>
          <w:u w:val="single"/>
          <w14:textFill>
            <w14:solidFill>
              <w14:schemeClr w14:val="tx1"/>
            </w14:solidFill>
          </w14:textFill>
        </w:rPr>
        <w:t xml:space="preserve">（标的名称） </w:t>
      </w:r>
      <w:r>
        <w:rPr>
          <w:rFonts w:hint="eastAsia" w:ascii="宋体" w:hAnsi="宋体" w:eastAsia="宋体" w:cs="宋体"/>
          <w:color w:val="000000" w:themeColor="text1"/>
          <w:kern w:val="0"/>
          <w:szCs w:val="21"/>
          <w:highlight w:val="none"/>
          <w14:textFill>
            <w14:solidFill>
              <w14:schemeClr w14:val="tx1"/>
            </w14:solidFill>
          </w14:textFill>
        </w:rPr>
        <w:t>，属于</w:t>
      </w:r>
      <w:r>
        <w:rPr>
          <w:rFonts w:hint="eastAsia" w:ascii="宋体" w:hAnsi="宋体" w:eastAsia="宋体" w:cs="宋体"/>
          <w:color w:val="000000" w:themeColor="text1"/>
          <w:kern w:val="0"/>
          <w:szCs w:val="21"/>
          <w:highlight w:val="none"/>
          <w:u w:val="single"/>
          <w14:textFill>
            <w14:solidFill>
              <w14:schemeClr w14:val="tx1"/>
            </w14:solidFill>
          </w14:textFill>
        </w:rPr>
        <w:t>（采购文件中明确的所属行业）</w:t>
      </w:r>
      <w:r>
        <w:rPr>
          <w:rFonts w:hint="eastAsia" w:ascii="宋体" w:hAnsi="宋体" w:eastAsia="宋体" w:cs="宋体"/>
          <w:color w:val="000000" w:themeColor="text1"/>
          <w:kern w:val="0"/>
          <w:szCs w:val="21"/>
          <w:highlight w:val="none"/>
          <w14:textFill>
            <w14:solidFill>
              <w14:schemeClr w14:val="tx1"/>
            </w14:solidFill>
          </w14:textFill>
        </w:rPr>
        <w:t xml:space="preserve"> 行业；制造商为</w:t>
      </w:r>
      <w:r>
        <w:rPr>
          <w:rFonts w:hint="eastAsia" w:ascii="宋体" w:hAnsi="宋体" w:eastAsia="宋体" w:cs="宋体"/>
          <w:color w:val="000000" w:themeColor="text1"/>
          <w:kern w:val="0"/>
          <w:szCs w:val="21"/>
          <w:highlight w:val="none"/>
          <w:u w:val="single"/>
          <w14:textFill>
            <w14:solidFill>
              <w14:schemeClr w14:val="tx1"/>
            </w14:solidFill>
          </w14:textFill>
        </w:rPr>
        <w:t>（企业名称）</w:t>
      </w:r>
      <w:r>
        <w:rPr>
          <w:rFonts w:hint="eastAsia" w:ascii="宋体" w:hAnsi="宋体" w:eastAsia="宋体" w:cs="宋体"/>
          <w:color w:val="000000" w:themeColor="text1"/>
          <w:kern w:val="0"/>
          <w:szCs w:val="21"/>
          <w:highlight w:val="none"/>
          <w14:textFill>
            <w14:solidFill>
              <w14:schemeClr w14:val="tx1"/>
            </w14:solidFill>
          </w14:textFill>
        </w:rPr>
        <w:t>，从业人员_____人，营业收入为_____万元，资产总额为_____万元</w:t>
      </w:r>
      <w:r>
        <w:rPr>
          <w:rFonts w:hint="eastAsia" w:ascii="宋体" w:hAnsi="宋体" w:eastAsia="宋体" w:cs="宋体"/>
          <w:color w:val="000000" w:themeColor="text1"/>
          <w:kern w:val="0"/>
          <w:szCs w:val="21"/>
          <w:highlight w:val="none"/>
          <w:vertAlign w:val="superscript"/>
          <w14:textFill>
            <w14:solidFill>
              <w14:schemeClr w14:val="tx1"/>
            </w14:solidFill>
          </w14:textFill>
        </w:rPr>
        <w:t>1</w:t>
      </w:r>
      <w:r>
        <w:rPr>
          <w:rFonts w:hint="eastAsia" w:ascii="宋体" w:hAnsi="宋体" w:eastAsia="宋体" w:cs="宋体"/>
          <w:color w:val="000000" w:themeColor="text1"/>
          <w:kern w:val="0"/>
          <w:szCs w:val="21"/>
          <w:highlight w:val="none"/>
          <w14:textFill>
            <w14:solidFill>
              <w14:schemeClr w14:val="tx1"/>
            </w14:solidFill>
          </w14:textFill>
        </w:rPr>
        <w:t>，属于</w:t>
      </w:r>
      <w:r>
        <w:rPr>
          <w:rFonts w:hint="eastAsia" w:ascii="宋体" w:hAnsi="宋体" w:eastAsia="宋体" w:cs="宋体"/>
          <w:color w:val="000000" w:themeColor="text1"/>
          <w:kern w:val="0"/>
          <w:szCs w:val="21"/>
          <w:highlight w:val="none"/>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highlight w:val="none"/>
          <w14:textFill>
            <w14:solidFill>
              <w14:schemeClr w14:val="tx1"/>
            </w14:solidFill>
          </w14:textFill>
        </w:rPr>
        <w:t>；</w:t>
      </w:r>
    </w:p>
    <w:p w14:paraId="56DA82D1">
      <w:pPr>
        <w:widowControl/>
        <w:spacing w:line="360" w:lineRule="auto"/>
        <w:ind w:right="-298" w:rightChars="-142" w:firstLine="371" w:firstLineChars="177"/>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w:t>
      </w:r>
      <w:r>
        <w:rPr>
          <w:rFonts w:hint="eastAsia" w:ascii="宋体" w:hAnsi="宋体" w:eastAsia="宋体" w:cs="宋体"/>
          <w:color w:val="000000" w:themeColor="text1"/>
          <w:kern w:val="0"/>
          <w:szCs w:val="21"/>
          <w:highlight w:val="none"/>
          <w:u w:val="single"/>
          <w14:textFill>
            <w14:solidFill>
              <w14:schemeClr w14:val="tx1"/>
            </w14:solidFill>
          </w14:textFill>
        </w:rPr>
        <w:t xml:space="preserve">（标的名称） </w:t>
      </w:r>
      <w:r>
        <w:rPr>
          <w:rFonts w:hint="eastAsia" w:ascii="宋体" w:hAnsi="宋体" w:eastAsia="宋体" w:cs="宋体"/>
          <w:color w:val="000000" w:themeColor="text1"/>
          <w:kern w:val="0"/>
          <w:szCs w:val="21"/>
          <w:highlight w:val="none"/>
          <w14:textFill>
            <w14:solidFill>
              <w14:schemeClr w14:val="tx1"/>
            </w14:solidFill>
          </w14:textFill>
        </w:rPr>
        <w:t>，属于</w:t>
      </w:r>
      <w:r>
        <w:rPr>
          <w:rFonts w:hint="eastAsia" w:ascii="宋体" w:hAnsi="宋体" w:eastAsia="宋体" w:cs="宋体"/>
          <w:color w:val="000000" w:themeColor="text1"/>
          <w:kern w:val="0"/>
          <w:szCs w:val="21"/>
          <w:highlight w:val="none"/>
          <w:u w:val="single"/>
          <w14:textFill>
            <w14:solidFill>
              <w14:schemeClr w14:val="tx1"/>
            </w14:solidFill>
          </w14:textFill>
        </w:rPr>
        <w:t xml:space="preserve">（采购文件中明确的所属行业） </w:t>
      </w:r>
      <w:r>
        <w:rPr>
          <w:rFonts w:hint="eastAsia" w:ascii="宋体" w:hAnsi="宋体" w:eastAsia="宋体" w:cs="宋体"/>
          <w:color w:val="000000" w:themeColor="text1"/>
          <w:kern w:val="0"/>
          <w:szCs w:val="21"/>
          <w:highlight w:val="none"/>
          <w14:textFill>
            <w14:solidFill>
              <w14:schemeClr w14:val="tx1"/>
            </w14:solidFill>
          </w14:textFill>
        </w:rPr>
        <w:t>行业；制造商为</w:t>
      </w:r>
      <w:r>
        <w:rPr>
          <w:rFonts w:hint="eastAsia" w:ascii="宋体" w:hAnsi="宋体" w:eastAsia="宋体" w:cs="宋体"/>
          <w:color w:val="000000" w:themeColor="text1"/>
          <w:kern w:val="0"/>
          <w:szCs w:val="21"/>
          <w:highlight w:val="none"/>
          <w:u w:val="single"/>
          <w14:textFill>
            <w14:solidFill>
              <w14:schemeClr w14:val="tx1"/>
            </w14:solidFill>
          </w14:textFill>
        </w:rPr>
        <w:t>（企业名称）</w:t>
      </w:r>
      <w:r>
        <w:rPr>
          <w:rFonts w:hint="eastAsia" w:ascii="宋体" w:hAnsi="宋体" w:eastAsia="宋体" w:cs="宋体"/>
          <w:color w:val="000000" w:themeColor="text1"/>
          <w:kern w:val="0"/>
          <w:szCs w:val="21"/>
          <w:highlight w:val="none"/>
          <w14:textFill>
            <w14:solidFill>
              <w14:schemeClr w14:val="tx1"/>
            </w14:solidFill>
          </w14:textFill>
        </w:rPr>
        <w:t>，从业人员_____人，营业收入为_____万元，资产总额为_____万元</w:t>
      </w:r>
      <w:r>
        <w:rPr>
          <w:rFonts w:hint="eastAsia" w:ascii="宋体" w:hAnsi="宋体" w:eastAsia="宋体" w:cs="宋体"/>
          <w:color w:val="000000" w:themeColor="text1"/>
          <w:kern w:val="0"/>
          <w:szCs w:val="21"/>
          <w:highlight w:val="none"/>
          <w:vertAlign w:val="superscript"/>
          <w14:textFill>
            <w14:solidFill>
              <w14:schemeClr w14:val="tx1"/>
            </w14:solidFill>
          </w14:textFill>
        </w:rPr>
        <w:t>1</w:t>
      </w:r>
      <w:r>
        <w:rPr>
          <w:rFonts w:hint="eastAsia" w:ascii="宋体" w:hAnsi="宋体" w:eastAsia="宋体" w:cs="宋体"/>
          <w:color w:val="000000" w:themeColor="text1"/>
          <w:kern w:val="0"/>
          <w:szCs w:val="21"/>
          <w:highlight w:val="none"/>
          <w14:textFill>
            <w14:solidFill>
              <w14:schemeClr w14:val="tx1"/>
            </w14:solidFill>
          </w14:textFill>
        </w:rPr>
        <w:t>，属于</w:t>
      </w:r>
      <w:r>
        <w:rPr>
          <w:rFonts w:hint="eastAsia" w:ascii="宋体" w:hAnsi="宋体" w:eastAsia="宋体" w:cs="宋体"/>
          <w:color w:val="000000" w:themeColor="text1"/>
          <w:kern w:val="0"/>
          <w:szCs w:val="21"/>
          <w:highlight w:val="none"/>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highlight w:val="none"/>
          <w14:textFill>
            <w14:solidFill>
              <w14:schemeClr w14:val="tx1"/>
            </w14:solidFill>
          </w14:textFill>
        </w:rPr>
        <w:t>；</w:t>
      </w:r>
    </w:p>
    <w:p w14:paraId="7883A7D6">
      <w:pPr>
        <w:widowControl/>
        <w:spacing w:line="360" w:lineRule="auto"/>
        <w:ind w:right="-298" w:rightChars="-142" w:firstLine="371" w:firstLineChars="177"/>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w:t>
      </w:r>
    </w:p>
    <w:p w14:paraId="0CD15F16">
      <w:pPr>
        <w:widowControl/>
        <w:spacing w:line="360" w:lineRule="auto"/>
        <w:ind w:right="-298" w:rightChars="-142" w:firstLine="371" w:firstLineChars="177"/>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以上企业，不属于大企业的分支机构，不存在控股股东为大企业的情形，也不存在与大企业的负责人为同一人的情形。</w:t>
      </w:r>
    </w:p>
    <w:p w14:paraId="1A900A10">
      <w:pPr>
        <w:widowControl/>
        <w:spacing w:line="360" w:lineRule="auto"/>
        <w:ind w:right="-298" w:rightChars="-142" w:firstLine="371" w:firstLineChars="177"/>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本企业对上述声明内容的真实性负责。如有虚假，将依法承担相应责任。</w:t>
      </w:r>
    </w:p>
    <w:p w14:paraId="060F87E5">
      <w:pPr>
        <w:widowControl/>
        <w:spacing w:line="360" w:lineRule="auto"/>
        <w:ind w:right="-298" w:rightChars="-142" w:firstLine="371" w:firstLineChars="177"/>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 xml:space="preserve"> </w:t>
      </w:r>
    </w:p>
    <w:p w14:paraId="531761AF">
      <w:pPr>
        <w:widowControl/>
        <w:spacing w:line="360" w:lineRule="auto"/>
        <w:ind w:right="-298" w:rightChars="-142" w:firstLine="2975" w:firstLineChars="1417"/>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企业名称（</w:t>
      </w:r>
      <w:r>
        <w:rPr>
          <w:rFonts w:hint="eastAsia" w:ascii="宋体" w:hAnsi="宋体" w:eastAsia="宋体" w:cs="宋体"/>
          <w:color w:val="000000" w:themeColor="text1"/>
          <w:szCs w:val="21"/>
          <w:highlight w:val="none"/>
          <w14:textFill>
            <w14:solidFill>
              <w14:schemeClr w14:val="tx1"/>
            </w14:solidFill>
          </w14:textFill>
        </w:rPr>
        <w:t>电子印章</w:t>
      </w:r>
      <w:r>
        <w:rPr>
          <w:rFonts w:hint="eastAsia" w:ascii="宋体" w:hAnsi="宋体" w:eastAsia="宋体" w:cs="宋体"/>
          <w:color w:val="000000" w:themeColor="text1"/>
          <w:kern w:val="0"/>
          <w:szCs w:val="21"/>
          <w:highlight w:val="none"/>
          <w14:textFill>
            <w14:solidFill>
              <w14:schemeClr w14:val="tx1"/>
            </w14:solidFill>
          </w14:textFill>
        </w:rPr>
        <w:t>）：</w:t>
      </w:r>
    </w:p>
    <w:p w14:paraId="071B4D85">
      <w:pPr>
        <w:widowControl/>
        <w:spacing w:line="360" w:lineRule="auto"/>
        <w:ind w:right="-298" w:rightChars="-142" w:firstLine="2975" w:firstLineChars="1417"/>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日 期：</w:t>
      </w:r>
    </w:p>
    <w:p w14:paraId="4CD20B55">
      <w:pPr>
        <w:widowControl/>
        <w:spacing w:line="360" w:lineRule="auto"/>
        <w:ind w:right="-1"/>
        <w:jc w:val="left"/>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pP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r>
        <w:rPr>
          <w:rFonts w:hint="eastAsia" w:ascii="宋体" w:hAnsi="宋体" w:eastAsia="宋体" w:cs="宋体"/>
          <w:color w:val="000000" w:themeColor="text1"/>
          <w:kern w:val="0"/>
          <w:szCs w:val="21"/>
          <w:highlight w:val="none"/>
          <w:u w:val="single"/>
          <w:vertAlign w:val="superscript"/>
          <w14:textFill>
            <w14:solidFill>
              <w14:schemeClr w14:val="tx1"/>
            </w14:solidFill>
          </w14:textFill>
        </w:rPr>
        <w:tab/>
      </w:r>
    </w:p>
    <w:p w14:paraId="1328E2A0">
      <w:pPr>
        <w:widowControl/>
        <w:tabs>
          <w:tab w:val="left" w:pos="9214"/>
        </w:tabs>
        <w:spacing w:line="360" w:lineRule="auto"/>
        <w:ind w:right="141" w:rightChars="67"/>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vertAlign w:val="superscript"/>
          <w14:textFill>
            <w14:solidFill>
              <w14:schemeClr w14:val="tx1"/>
            </w14:solidFill>
          </w14:textFill>
        </w:rPr>
        <w:t>1</w:t>
      </w:r>
      <w:r>
        <w:rPr>
          <w:rFonts w:hint="eastAsia" w:ascii="宋体" w:hAnsi="宋体" w:eastAsia="宋体" w:cs="宋体"/>
          <w:color w:val="000000" w:themeColor="text1"/>
          <w:kern w:val="0"/>
          <w:szCs w:val="21"/>
          <w:highlight w:val="none"/>
          <w14:textFill>
            <w14:solidFill>
              <w14:schemeClr w14:val="tx1"/>
            </w14:solidFill>
          </w14:textFill>
        </w:rPr>
        <w:t>从业人员、营业收入、资产总额填报上一年度数据，无上一年度数据的新成立企业可不</w:t>
      </w:r>
      <w:r>
        <w:rPr>
          <w:rFonts w:hint="eastAsia" w:ascii="宋体" w:hAnsi="宋体" w:eastAsia="宋体" w:cs="宋体"/>
          <w:color w:val="000000" w:themeColor="text1"/>
          <w:kern w:val="0"/>
          <w:sz w:val="24"/>
          <w:szCs w:val="24"/>
          <w:highlight w:val="none"/>
          <w14:textFill>
            <w14:solidFill>
              <w14:schemeClr w14:val="tx1"/>
            </w14:solidFill>
          </w14:textFill>
        </w:rPr>
        <w:t>填报。</w:t>
      </w:r>
    </w:p>
    <w:p w14:paraId="54B5DA57">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p>
    <w:p w14:paraId="57A25589">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6EFDA6A2">
      <w:pPr>
        <w:keepNext/>
        <w:keepLines/>
        <w:spacing w:before="260" w:after="260" w:line="412" w:lineRule="auto"/>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873" w:name="_Toc134619337"/>
      <w:r>
        <w:rPr>
          <w:rFonts w:hint="eastAsia" w:ascii="宋体" w:hAnsi="宋体" w:eastAsia="宋体" w:cs="宋体"/>
          <w:b/>
          <w:bCs/>
          <w:color w:val="000000" w:themeColor="text1"/>
          <w:kern w:val="0"/>
          <w:sz w:val="32"/>
          <w:szCs w:val="32"/>
          <w:highlight w:val="none"/>
          <w14:textFill>
            <w14:solidFill>
              <w14:schemeClr w14:val="tx1"/>
            </w14:solidFill>
          </w14:textFill>
        </w:rPr>
        <w:br w:type="page"/>
      </w:r>
      <w:r>
        <w:rPr>
          <w:rFonts w:hint="eastAsia" w:ascii="宋体" w:hAnsi="宋体" w:eastAsia="宋体" w:cs="宋体"/>
          <w:b/>
          <w:bCs/>
          <w:color w:val="000000" w:themeColor="text1"/>
          <w:kern w:val="0"/>
          <w:sz w:val="32"/>
          <w:szCs w:val="32"/>
          <w:highlight w:val="none"/>
          <w14:textFill>
            <w14:solidFill>
              <w14:schemeClr w14:val="tx1"/>
            </w14:solidFill>
          </w14:textFill>
        </w:rPr>
        <w:t>附件2</w:t>
      </w:r>
      <w:bookmarkEnd w:id="873"/>
      <w:bookmarkStart w:id="874" w:name="_Toc27843_WPSOffice_Level1"/>
      <w:bookmarkStart w:id="875" w:name="_Toc15643_WPSOffice_Level1"/>
      <w:bookmarkStart w:id="876" w:name="_Toc26836_WPSOffice_Level1"/>
      <w:bookmarkStart w:id="877" w:name="_Toc429_WPSOffice_Level1"/>
      <w:bookmarkStart w:id="878" w:name="_Toc24132_WPSOffice_Level1"/>
      <w:bookmarkStart w:id="879" w:name="_Toc11968_WPSOffice_Level2"/>
      <w:bookmarkStart w:id="880" w:name="_Toc21603_WPSOffice_Level1"/>
      <w:bookmarkStart w:id="881" w:name="_Toc338_WPSOffice_Level1"/>
      <w:bookmarkStart w:id="882" w:name="_Toc4213_WPSOffice_Level1"/>
      <w:bookmarkStart w:id="883" w:name="_Toc4354_WPSOffice_Level1"/>
      <w:bookmarkStart w:id="884" w:name="_Toc27971_WPSOffice_Level1"/>
      <w:bookmarkStart w:id="885" w:name="OLE_LINK13"/>
      <w:bookmarkStart w:id="886" w:name="OLE_LINK14"/>
      <w:r>
        <w:rPr>
          <w:rFonts w:hint="eastAsia" w:ascii="宋体" w:hAnsi="宋体" w:eastAsia="宋体" w:cs="宋体"/>
          <w:b/>
          <w:bCs/>
          <w:color w:val="000000" w:themeColor="text1"/>
          <w:kern w:val="0"/>
          <w:sz w:val="32"/>
          <w:szCs w:val="32"/>
          <w:highlight w:val="none"/>
          <w14:textFill>
            <w14:solidFill>
              <w14:schemeClr w14:val="tx1"/>
            </w14:solidFill>
          </w14:textFill>
        </w:rPr>
        <w:t xml:space="preserve">  </w:t>
      </w:r>
    </w:p>
    <w:bookmarkEnd w:id="874"/>
    <w:bookmarkEnd w:id="875"/>
    <w:bookmarkEnd w:id="876"/>
    <w:bookmarkEnd w:id="877"/>
    <w:bookmarkEnd w:id="878"/>
    <w:bookmarkEnd w:id="879"/>
    <w:bookmarkEnd w:id="880"/>
    <w:bookmarkEnd w:id="881"/>
    <w:bookmarkEnd w:id="882"/>
    <w:bookmarkEnd w:id="883"/>
    <w:bookmarkEnd w:id="884"/>
    <w:p w14:paraId="5725D0FE">
      <w:pPr>
        <w:widowControl/>
        <w:tabs>
          <w:tab w:val="left" w:pos="312"/>
        </w:tabs>
        <w:spacing w:after="120" w:line="360" w:lineRule="auto"/>
        <w:ind w:left="840"/>
        <w:jc w:val="center"/>
        <w:rPr>
          <w:rFonts w:hint="eastAsia" w:ascii="宋体" w:hAnsi="宋体" w:eastAsia="宋体" w:cs="宋体"/>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kern w:val="0"/>
          <w:sz w:val="32"/>
          <w:szCs w:val="32"/>
          <w:highlight w:val="none"/>
          <w14:textFill>
            <w14:solidFill>
              <w14:schemeClr w14:val="tx1"/>
            </w14:solidFill>
          </w14:textFill>
        </w:rPr>
        <w:t>残疾人福利性单位声明函</w:t>
      </w:r>
    </w:p>
    <w:bookmarkEnd w:id="885"/>
    <w:bookmarkEnd w:id="886"/>
    <w:p w14:paraId="14FAF05A">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AB3ACB1">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本单位对上述声明的真实性负责。如有虚假，将依法承担相应责任。</w:t>
      </w:r>
    </w:p>
    <w:p w14:paraId="03FBA5D1">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p>
    <w:p w14:paraId="7B4769B8">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p>
    <w:p w14:paraId="73B7EDEA">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单位名称（电子印章）：</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520B252A">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日  期：</w:t>
      </w:r>
      <w:r>
        <w:rPr>
          <w:rFonts w:hint="eastAsia" w:ascii="宋体" w:hAnsi="宋体" w:eastAsia="宋体" w:cs="宋体"/>
          <w:bCs/>
          <w:color w:val="000000" w:themeColor="text1"/>
          <w:szCs w:val="21"/>
          <w:highlight w:val="none"/>
          <w:u w:val="single"/>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年</w:t>
      </w:r>
      <w:r>
        <w:rPr>
          <w:rFonts w:hint="eastAsia" w:ascii="宋体" w:hAnsi="宋体" w:eastAsia="宋体" w:cs="宋体"/>
          <w:bCs/>
          <w:color w:val="000000" w:themeColor="text1"/>
          <w:szCs w:val="21"/>
          <w:highlight w:val="none"/>
          <w:u w:val="single"/>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月</w:t>
      </w:r>
      <w:r>
        <w:rPr>
          <w:rFonts w:hint="eastAsia" w:ascii="宋体" w:hAnsi="宋体" w:eastAsia="宋体" w:cs="宋体"/>
          <w:bCs/>
          <w:color w:val="000000" w:themeColor="text1"/>
          <w:szCs w:val="21"/>
          <w:highlight w:val="none"/>
          <w:u w:val="single"/>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日</w:t>
      </w:r>
    </w:p>
    <w:p w14:paraId="384B4B7C">
      <w:pPr>
        <w:spacing w:line="276" w:lineRule="auto"/>
        <w:rPr>
          <w:rFonts w:hint="eastAsia" w:ascii="宋体" w:hAnsi="宋体" w:eastAsia="宋体" w:cs="宋体"/>
          <w:color w:val="000000" w:themeColor="text1"/>
          <w:szCs w:val="21"/>
          <w:highlight w:val="none"/>
          <w14:textFill>
            <w14:solidFill>
              <w14:schemeClr w14:val="tx1"/>
            </w14:solidFill>
          </w14:textFill>
        </w:rPr>
      </w:pPr>
    </w:p>
    <w:p w14:paraId="37370BF2">
      <w:pPr>
        <w:spacing w:line="276" w:lineRule="auto"/>
        <w:rPr>
          <w:rFonts w:hint="eastAsia" w:ascii="宋体" w:hAnsi="宋体" w:eastAsia="宋体" w:cs="宋体"/>
          <w:color w:val="000000" w:themeColor="text1"/>
          <w:szCs w:val="21"/>
          <w:highlight w:val="none"/>
          <w14:textFill>
            <w14:solidFill>
              <w14:schemeClr w14:val="tx1"/>
            </w14:solidFill>
          </w14:textFill>
        </w:rPr>
      </w:pPr>
    </w:p>
    <w:p w14:paraId="7C8FD2AF">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1785A797">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311EC61E">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5DED414C">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776B7C64">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69D4B026">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028E0F2F">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116393ED">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18E1C83C">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493DA4A0">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4C1FD700">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34766822">
      <w:pPr>
        <w:keepNext/>
        <w:keepLines/>
        <w:spacing w:before="260" w:after="260" w:line="412" w:lineRule="auto"/>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887" w:name="_Toc134619338"/>
      <w:r>
        <w:rPr>
          <w:rFonts w:hint="eastAsia" w:ascii="宋体" w:hAnsi="宋体" w:eastAsia="宋体" w:cs="宋体"/>
          <w:b/>
          <w:bCs/>
          <w:color w:val="000000" w:themeColor="text1"/>
          <w:kern w:val="0"/>
          <w:sz w:val="32"/>
          <w:szCs w:val="32"/>
          <w:highlight w:val="none"/>
          <w14:textFill>
            <w14:solidFill>
              <w14:schemeClr w14:val="tx1"/>
            </w14:solidFill>
          </w14:textFill>
        </w:rPr>
        <w:br w:type="page"/>
      </w:r>
      <w:r>
        <w:rPr>
          <w:rFonts w:hint="eastAsia" w:ascii="宋体" w:hAnsi="宋体" w:eastAsia="宋体" w:cs="宋体"/>
          <w:b/>
          <w:bCs/>
          <w:color w:val="000000" w:themeColor="text1"/>
          <w:kern w:val="0"/>
          <w:sz w:val="32"/>
          <w:szCs w:val="32"/>
          <w:highlight w:val="none"/>
          <w14:textFill>
            <w14:solidFill>
              <w14:schemeClr w14:val="tx1"/>
            </w14:solidFill>
          </w14:textFill>
        </w:rPr>
        <w:t>附件3</w:t>
      </w:r>
      <w:bookmarkEnd w:id="887"/>
      <w:r>
        <w:rPr>
          <w:rFonts w:hint="eastAsia" w:ascii="宋体" w:hAnsi="宋体" w:eastAsia="宋体" w:cs="宋体"/>
          <w:b/>
          <w:bCs/>
          <w:color w:val="000000" w:themeColor="text1"/>
          <w:kern w:val="0"/>
          <w:sz w:val="32"/>
          <w:szCs w:val="32"/>
          <w:highlight w:val="none"/>
          <w14:textFill>
            <w14:solidFill>
              <w14:schemeClr w14:val="tx1"/>
            </w14:solidFill>
          </w14:textFill>
        </w:rPr>
        <w:t xml:space="preserve"> </w:t>
      </w:r>
    </w:p>
    <w:p w14:paraId="1C95065E">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240" w:lineRule="auto"/>
        <w:ind w:left="0" w:right="0" w:firstLine="0"/>
        <w:jc w:val="center"/>
        <w:textAlignment w:val="baseline"/>
        <w:rPr>
          <w:rFonts w:hint="eastAsia" w:ascii="宋体" w:hAnsi="宋体" w:eastAsia="宋体" w:cs="宋体"/>
          <w:i w:val="0"/>
          <w:iCs w:val="0"/>
          <w:caps w:val="0"/>
          <w:color w:val="000000" w:themeColor="text1"/>
          <w:spacing w:val="0"/>
          <w:sz w:val="28"/>
          <w:szCs w:val="28"/>
          <w:highlight w:val="none"/>
          <w14:textFill>
            <w14:solidFill>
              <w14:schemeClr w14:val="tx1"/>
            </w14:solidFill>
          </w14:textFill>
        </w:rPr>
      </w:pPr>
      <w:r>
        <w:rPr>
          <w:rStyle w:val="20"/>
          <w:rFonts w:hint="eastAsia" w:ascii="宋体" w:hAnsi="宋体" w:eastAsia="宋体" w:cs="宋体"/>
          <w:i w:val="0"/>
          <w:iCs w:val="0"/>
          <w:caps w:val="0"/>
          <w:color w:val="000000" w:themeColor="text1"/>
          <w:spacing w:val="0"/>
          <w:sz w:val="32"/>
          <w:szCs w:val="32"/>
          <w:highlight w:val="none"/>
          <w:shd w:val="clear" w:color="auto" w:fill="FFFFFF"/>
          <w:vertAlign w:val="baseline"/>
          <w14:textFill>
            <w14:solidFill>
              <w14:schemeClr w14:val="tx1"/>
            </w14:solidFill>
          </w14:textFill>
        </w:rPr>
        <w:t>关于符合本国产品标准的声明函</w:t>
      </w:r>
    </w:p>
    <w:p w14:paraId="6BB710DF">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420"/>
        <w:textAlignment w:val="baseline"/>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20D92089">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420"/>
        <w:textAlignment w:val="baseline"/>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1.</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（产品名称1）</w:t>
      </w:r>
      <w:r>
        <w:rPr>
          <w:rStyle w:val="22"/>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1</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，生产厂为</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（厂名）</w:t>
      </w:r>
      <w:r>
        <w:rPr>
          <w:rStyle w:val="22"/>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2</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，厂址为</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（生产厂址）</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（产品名称1）</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的中国境内生产的组件成本占比≥</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（规定比例）</w:t>
      </w:r>
      <w:r>
        <w:rPr>
          <w:rStyle w:val="22"/>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3</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（产品名称1）</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的</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（关键组件）</w:t>
      </w:r>
      <w:r>
        <w:rPr>
          <w:rStyle w:val="22"/>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4</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在中国境内生产。</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（产品名称1）</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的</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（关键工序）</w:t>
      </w:r>
      <w:r>
        <w:rPr>
          <w:rStyle w:val="22"/>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5</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在中国境内完成。</w:t>
      </w:r>
    </w:p>
    <w:p w14:paraId="3DF6109D">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420"/>
        <w:textAlignment w:val="baseline"/>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2.</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（产品名称2）</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，生产厂为</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（厂名）</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，厂址为</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（生产厂址）</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（产品名称2）</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的中国境内生产的组件成本占比≥</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（规定比例）</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（产品名称2）</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的</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（关键组件）</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在中国境内生产。</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（产品名称2）</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的</w:t>
      </w:r>
      <w:r>
        <w:rPr>
          <w:rStyle w:val="22"/>
          <w:rFonts w:hint="eastAsia" w:ascii="宋体" w:hAnsi="宋体" w:eastAsia="宋体" w:cs="宋体"/>
          <w:i w:val="0"/>
          <w:iCs w:val="0"/>
          <w:caps w:val="0"/>
          <w:color w:val="000000" w:themeColor="text1"/>
          <w:spacing w:val="0"/>
          <w:sz w:val="21"/>
          <w:szCs w:val="21"/>
          <w:highlight w:val="none"/>
          <w:u w:val="single"/>
          <w:shd w:val="clear" w:color="auto" w:fill="FFFFFF"/>
          <w:vertAlign w:val="baseline"/>
          <w14:textFill>
            <w14:solidFill>
              <w14:schemeClr w14:val="tx1"/>
            </w14:solidFill>
          </w14:textFill>
        </w:rPr>
        <w:t>（关键工序）</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在中国境内完成。</w:t>
      </w:r>
    </w:p>
    <w:p w14:paraId="0F57E825">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420"/>
        <w:textAlignment w:val="baseline"/>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w:t>
      </w:r>
    </w:p>
    <w:p w14:paraId="56496251">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420"/>
        <w:textAlignment w:val="baseline"/>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本公司（单位）对上述声明内容的真实性负责。如有虚假，愿承担相应法律责任。</w:t>
      </w:r>
    </w:p>
    <w:p w14:paraId="279101B5">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0"/>
        <w:textAlignment w:val="baseline"/>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 </w:t>
      </w:r>
    </w:p>
    <w:p w14:paraId="1B894E10">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240" w:lineRule="auto"/>
        <w:ind w:left="0" w:right="0" w:firstLine="4410" w:firstLineChars="2100"/>
        <w:jc w:val="both"/>
        <w:textAlignment w:val="baseline"/>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公司（单位）名称（盖章）：　        </w:t>
      </w:r>
    </w:p>
    <w:p w14:paraId="1DF24475">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240" w:lineRule="auto"/>
        <w:ind w:left="0" w:right="0" w:firstLine="4410" w:firstLineChars="2100"/>
        <w:jc w:val="both"/>
        <w:textAlignment w:val="baseline"/>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日期：　     年　  月　  日        </w:t>
      </w:r>
    </w:p>
    <w:p w14:paraId="1827753E">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240" w:lineRule="auto"/>
        <w:ind w:right="0"/>
        <w:textAlignment w:val="baseline"/>
        <w:rPr>
          <w:rFonts w:hint="eastAsia" w:ascii="宋体" w:hAnsi="宋体" w:eastAsia="宋体" w:cs="宋体"/>
          <w:i w:val="0"/>
          <w:iCs w:val="0"/>
          <w:caps w:val="0"/>
          <w:color w:val="000000" w:themeColor="text1"/>
          <w:spacing w:val="0"/>
          <w:sz w:val="21"/>
          <w:szCs w:val="21"/>
          <w:highlight w:val="none"/>
          <w:u w:val="single"/>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u w:val="single"/>
          <w:shd w:val="clear" w:color="auto" w:fill="FFFFFF"/>
          <w:vertAlign w:val="baseline"/>
          <w:lang w:val="en-US" w:eastAsia="zh-CN"/>
          <w14:textFill>
            <w14:solidFill>
              <w14:schemeClr w14:val="tx1"/>
            </w14:solidFill>
          </w14:textFill>
        </w:rPr>
        <w:t xml:space="preserve">                  </w:t>
      </w:r>
    </w:p>
    <w:p w14:paraId="3CAAC6A7">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420"/>
        <w:textAlignment w:val="baseline"/>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1.产品如有型号，请在“产品名称”栏一并填写。</w:t>
      </w:r>
    </w:p>
    <w:p w14:paraId="3852E5A0">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420"/>
        <w:textAlignment w:val="baseline"/>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2.生产厂名与厂址应与生产厂营业执照载明的相关信息保持一致。</w:t>
      </w:r>
    </w:p>
    <w:p w14:paraId="24BA7E08">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420"/>
        <w:textAlignment w:val="baseline"/>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3.该产品的中国境内生产的组件成本占比相关要求实施前，“规定比例”栏可不填，下同。</w:t>
      </w:r>
    </w:p>
    <w:p w14:paraId="44EB4ED9">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420"/>
        <w:textAlignment w:val="baseline"/>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4.该产品的关键组件要求实施前，“关键组件”栏可不填，下同。</w:t>
      </w:r>
    </w:p>
    <w:p w14:paraId="7B06202B">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420"/>
        <w:textAlignment w:val="baseline"/>
        <w:rPr>
          <w:rFonts w:hint="eastAsia" w:ascii="宋体" w:hAnsi="宋体" w:eastAsia="宋体" w:cs="宋体"/>
          <w:i w:val="0"/>
          <w:iCs w:val="0"/>
          <w:caps w:val="0"/>
          <w:color w:val="000000" w:themeColor="text1"/>
          <w:spacing w:val="0"/>
          <w:sz w:val="22"/>
          <w:szCs w:val="22"/>
          <w:highlight w:val="none"/>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5.该产品的关键工序要求实施前，“关键工序”栏可不填，下同。</w:t>
      </w:r>
    </w:p>
    <w:p w14:paraId="2F360D5E">
      <w:pPr>
        <w:keepNext/>
        <w:keepLines/>
        <w:spacing w:before="260" w:after="260" w:line="412" w:lineRule="auto"/>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r>
        <w:rPr>
          <w:rFonts w:hint="eastAsia" w:ascii="宋体" w:hAnsi="宋体" w:eastAsia="宋体" w:cs="宋体"/>
          <w:b/>
          <w:bCs/>
          <w:color w:val="000000" w:themeColor="text1"/>
          <w:kern w:val="0"/>
          <w:sz w:val="22"/>
          <w:szCs w:val="22"/>
          <w:highlight w:val="none"/>
          <w14:textFill>
            <w14:solidFill>
              <w14:schemeClr w14:val="tx1"/>
            </w14:solidFill>
          </w14:textFill>
        </w:rPr>
        <w:br w:type="page"/>
      </w:r>
      <w:r>
        <w:rPr>
          <w:rFonts w:hint="eastAsia" w:ascii="宋体" w:hAnsi="宋体" w:eastAsia="宋体" w:cs="宋体"/>
          <w:b/>
          <w:bCs/>
          <w:color w:val="000000" w:themeColor="text1"/>
          <w:kern w:val="0"/>
          <w:sz w:val="32"/>
          <w:szCs w:val="32"/>
          <w:highlight w:val="none"/>
          <w14:textFill>
            <w14:solidFill>
              <w14:schemeClr w14:val="tx1"/>
            </w14:solidFill>
          </w14:textFill>
        </w:rPr>
        <w:t>附件</w:t>
      </w:r>
      <w:r>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t xml:space="preserve">4 </w:t>
      </w:r>
    </w:p>
    <w:p w14:paraId="5A9B1F53">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kern w:val="0"/>
          <w:sz w:val="32"/>
          <w:szCs w:val="32"/>
          <w:highlight w:val="none"/>
          <w14:textFill>
            <w14:solidFill>
              <w14:schemeClr w14:val="tx1"/>
            </w14:solidFill>
          </w14:textFill>
        </w:rPr>
        <w:t>河南省政府采购合同融资政策告知函</w:t>
      </w:r>
    </w:p>
    <w:p w14:paraId="3813A5C4">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各供应商：</w:t>
      </w:r>
    </w:p>
    <w:p w14:paraId="60BBFA74">
      <w:pPr>
        <w:spacing w:line="360" w:lineRule="auto"/>
        <w:ind w:right="162" w:rightChars="77"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欢迎贵公司参与河南省政府采购活动！</w:t>
      </w:r>
    </w:p>
    <w:p w14:paraId="6DFC0C3D">
      <w:pPr>
        <w:spacing w:line="360" w:lineRule="auto"/>
        <w:ind w:right="162" w:rightChars="77"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25AE8D3B">
      <w:pPr>
        <w:spacing w:line="360" w:lineRule="auto"/>
        <w:ind w:right="162" w:rightChars="77" w:firstLine="424" w:firstLineChars="20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贷款渠道和提供贷款的金融机构，可在河南省政府采购网“河南省政府采购合同融资平台”查询联系。</w:t>
      </w:r>
    </w:p>
    <w:p w14:paraId="7DC348BA">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77D6C0EE">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0768EBF6">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3C504341">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0C250F07">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0C6133F4">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44212E62">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2277C2BB">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67F4F14A">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420C43EC">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5200F192">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700A2257">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58EC4633">
      <w:pPr>
        <w:spacing w:line="360" w:lineRule="auto"/>
        <w:rPr>
          <w:rFonts w:hint="eastAsia" w:ascii="宋体" w:hAnsi="宋体" w:eastAsia="宋体" w:cs="宋体"/>
          <w:color w:val="000000" w:themeColor="text1"/>
          <w:szCs w:val="21"/>
          <w:highlight w:val="none"/>
          <w14:textFill>
            <w14:solidFill>
              <w14:schemeClr w14:val="tx1"/>
            </w14:solidFill>
          </w14:textFill>
        </w:rPr>
      </w:pPr>
    </w:p>
    <w:p w14:paraId="75D190A9">
      <w:pPr>
        <w:keepNext/>
        <w:keepLines/>
        <w:spacing w:before="260" w:after="260" w:line="412" w:lineRule="auto"/>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888" w:name="_Toc134619339"/>
      <w:r>
        <w:rPr>
          <w:rFonts w:hint="eastAsia" w:ascii="宋体" w:hAnsi="宋体" w:eastAsia="宋体" w:cs="宋体"/>
          <w:b/>
          <w:bCs/>
          <w:color w:val="000000" w:themeColor="text1"/>
          <w:kern w:val="0"/>
          <w:sz w:val="32"/>
          <w:szCs w:val="32"/>
          <w:highlight w:val="none"/>
          <w14:textFill>
            <w14:solidFill>
              <w14:schemeClr w14:val="tx1"/>
            </w14:solidFill>
          </w14:textFill>
        </w:rPr>
        <w:br w:type="page"/>
      </w:r>
      <w:r>
        <w:rPr>
          <w:rFonts w:hint="eastAsia" w:ascii="宋体" w:hAnsi="宋体" w:eastAsia="宋体" w:cs="宋体"/>
          <w:b/>
          <w:bCs/>
          <w:color w:val="000000" w:themeColor="text1"/>
          <w:kern w:val="0"/>
          <w:sz w:val="32"/>
          <w:szCs w:val="32"/>
          <w:highlight w:val="none"/>
          <w14:textFill>
            <w14:solidFill>
              <w14:schemeClr w14:val="tx1"/>
            </w14:solidFill>
          </w14:textFill>
        </w:rPr>
        <w:t>附件</w:t>
      </w:r>
      <w:bookmarkEnd w:id="888"/>
      <w:r>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t>5</w:t>
      </w:r>
      <w:r>
        <w:rPr>
          <w:rFonts w:hint="eastAsia" w:ascii="宋体" w:hAnsi="宋体" w:eastAsia="宋体" w:cs="宋体"/>
          <w:b/>
          <w:bCs/>
          <w:color w:val="000000" w:themeColor="text1"/>
          <w:kern w:val="0"/>
          <w:sz w:val="32"/>
          <w:szCs w:val="32"/>
          <w:highlight w:val="none"/>
          <w14:textFill>
            <w14:solidFill>
              <w14:schemeClr w14:val="tx1"/>
            </w14:solidFill>
          </w14:textFill>
        </w:rPr>
        <w:t xml:space="preserve"> </w:t>
      </w:r>
    </w:p>
    <w:p w14:paraId="099AAC63">
      <w:pPr>
        <w:spacing w:line="360" w:lineRule="auto"/>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kern w:val="0"/>
          <w:sz w:val="32"/>
          <w:szCs w:val="32"/>
          <w:highlight w:val="none"/>
          <w14:textFill>
            <w14:solidFill>
              <w14:schemeClr w14:val="tx1"/>
            </w14:solidFill>
          </w14:textFill>
        </w:rPr>
        <w:t>关于印发中小企业划型标准规定的通知</w:t>
      </w:r>
    </w:p>
    <w:p w14:paraId="68B62682">
      <w:pPr>
        <w:spacing w:line="360" w:lineRule="auto"/>
        <w:ind w:firstLine="315" w:firstLineChars="15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工信部联企业[2011]300号</w:t>
      </w:r>
    </w:p>
    <w:p w14:paraId="340DA58A">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各省、自治区、直辖市人民政府，国务院各部委、各直属机构及有关单位：</w:t>
      </w:r>
    </w:p>
    <w:p w14:paraId="1D9378E1">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1EEA463">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工业和信息化部　国家统计局</w:t>
      </w:r>
    </w:p>
    <w:p w14:paraId="1C6ABE36">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国家发展和改革委员会　财政部</w:t>
      </w:r>
    </w:p>
    <w:p w14:paraId="14857D85">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二〇一一年六月十八日</w:t>
      </w:r>
    </w:p>
    <w:p w14:paraId="549FF590">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p>
    <w:p w14:paraId="40AD0144">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中小企业划型标准规定</w:t>
      </w:r>
    </w:p>
    <w:p w14:paraId="67508061">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一、根据《中华人民共和国中小企业促进法》和《国务院关于进一步促进中小企业发展的若干意见》(国发〔2009〕36号)，制定本规定。</w:t>
      </w:r>
    </w:p>
    <w:p w14:paraId="16F9D12B">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二、中小企业划分为中型、小型、微型三种类型，具体标准根据企业从业人员、营业收入、资产总额等指标，结合行业特点制定。</w:t>
      </w:r>
    </w:p>
    <w:p w14:paraId="6D3CB0A6">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A9956FD">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四、各行业划型标准为：</w:t>
      </w:r>
    </w:p>
    <w:p w14:paraId="027A89F5">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31BD41A9">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7E4A1FB">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00E0B6">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174054A">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3793BF3">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62511FD">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F5F8951">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3C36762">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8C50C36">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BA5C216">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E66A358">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A3F0F99">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D7367FE">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930829A">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ED0C15F">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7D4B908F">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五、企业类型的划分以统计部门的统计数据为依据。</w:t>
      </w:r>
    </w:p>
    <w:p w14:paraId="686D5BF0">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六、本规定适用于在中华人民共和国境内依法设立的各类所有制和各种组织形式的企业。个体工商户和本规定以外的行业，参照本规定进行划型。</w:t>
      </w:r>
    </w:p>
    <w:p w14:paraId="546337C2">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七、本规定的中型企业标准上限即为大型企业标准的下限，国家统计部门据此制定大中小微型企业的统计分类。国务院有关部门据此进行相关数据分析，不得制定与本规定不一致的企业划型标准。</w:t>
      </w:r>
    </w:p>
    <w:p w14:paraId="7DE2206C">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八、本规定由工业和信息化部、国家统计局会同有关部门根据《国民经济行业分类》修订情况和企业发展变化情况适时修订。</w:t>
      </w:r>
    </w:p>
    <w:p w14:paraId="41C53084">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九、本规定由工业和信息化部、国家统计局会同有关部门负责解释。</w:t>
      </w:r>
    </w:p>
    <w:p w14:paraId="24335C0F">
      <w:pPr>
        <w:spacing w:line="360" w:lineRule="auto"/>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十、本规定自发布之日起执行，原国家经贸委、原国家计委、财政部和国家统计局2003年颁布的《中小企业标准暂行规定》同时废止。</w:t>
      </w:r>
    </w:p>
    <w:p w14:paraId="0A92C3C3">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69552F72">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39DDC52A">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555C5F4E">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650B1230">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591DD607">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189C1960">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656D810B">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3144A31E">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2A179480">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441D6BF9">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709D4C3B">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48193563">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37CBE358">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0DDCBA3E">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36394BED">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77D98466">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06634C69">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3B1DD4F9">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3CF8DEEE">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7D1487DC">
      <w:pPr>
        <w:spacing w:line="400" w:lineRule="exact"/>
        <w:ind w:right="-1" w:firstLine="643" w:firstLineChars="200"/>
        <w:rPr>
          <w:rFonts w:hint="eastAsia" w:ascii="宋体" w:hAnsi="宋体" w:eastAsia="宋体" w:cs="宋体"/>
          <w:b/>
          <w:bCs/>
          <w:color w:val="000000" w:themeColor="text1"/>
          <w:kern w:val="44"/>
          <w:sz w:val="32"/>
          <w:szCs w:val="32"/>
          <w:highlight w:val="none"/>
          <w14:textFill>
            <w14:solidFill>
              <w14:schemeClr w14:val="tx1"/>
            </w14:solidFill>
          </w14:textFill>
        </w:rPr>
      </w:pPr>
    </w:p>
    <w:p w14:paraId="1F8BF67D">
      <w:pPr>
        <w:keepNext/>
        <w:keepLines/>
        <w:spacing w:before="260" w:after="260" w:line="412" w:lineRule="auto"/>
        <w:outlineLvl w:val="2"/>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889" w:name="_Toc134619340"/>
      <w:r>
        <w:rPr>
          <w:rFonts w:hint="eastAsia" w:ascii="宋体" w:hAnsi="宋体" w:eastAsia="宋体" w:cs="宋体"/>
          <w:b/>
          <w:bCs/>
          <w:color w:val="000000" w:themeColor="text1"/>
          <w:kern w:val="0"/>
          <w:sz w:val="32"/>
          <w:szCs w:val="32"/>
          <w:highlight w:val="none"/>
          <w14:textFill>
            <w14:solidFill>
              <w14:schemeClr w14:val="tx1"/>
            </w14:solidFill>
          </w14:textFill>
        </w:rPr>
        <w:br w:type="page"/>
      </w:r>
      <w:r>
        <w:rPr>
          <w:rFonts w:hint="eastAsia" w:ascii="宋体" w:hAnsi="宋体" w:eastAsia="宋体" w:cs="宋体"/>
          <w:b/>
          <w:bCs/>
          <w:color w:val="000000" w:themeColor="text1"/>
          <w:kern w:val="0"/>
          <w:sz w:val="32"/>
          <w:szCs w:val="32"/>
          <w:highlight w:val="none"/>
          <w14:textFill>
            <w14:solidFill>
              <w14:schemeClr w14:val="tx1"/>
            </w14:solidFill>
          </w14:textFill>
        </w:rPr>
        <w:t>附件</w:t>
      </w:r>
      <w:bookmarkEnd w:id="889"/>
      <w:r>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t>6</w:t>
      </w:r>
      <w:r>
        <w:rPr>
          <w:rFonts w:hint="eastAsia" w:ascii="宋体" w:hAnsi="宋体" w:eastAsia="宋体" w:cs="宋体"/>
          <w:b/>
          <w:bCs/>
          <w:color w:val="000000" w:themeColor="text1"/>
          <w:kern w:val="0"/>
          <w:sz w:val="32"/>
          <w:szCs w:val="32"/>
          <w:highlight w:val="none"/>
          <w14:textFill>
            <w14:solidFill>
              <w14:schemeClr w14:val="tx1"/>
            </w14:solidFill>
          </w14:textFill>
        </w:rPr>
        <w:t xml:space="preserve"> </w:t>
      </w:r>
    </w:p>
    <w:p w14:paraId="24D90EF0">
      <w:pPr>
        <w:spacing w:line="480" w:lineRule="auto"/>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bCs/>
          <w:color w:val="000000" w:themeColor="text1"/>
          <w:kern w:val="0"/>
          <w:sz w:val="32"/>
          <w:szCs w:val="32"/>
          <w:highlight w:val="none"/>
          <w14:textFill>
            <w14:solidFill>
              <w14:schemeClr w14:val="tx1"/>
            </w14:solidFill>
          </w14:textFill>
        </w:rPr>
        <w:t>全流程电子化交易注意事项</w:t>
      </w:r>
    </w:p>
    <w:p w14:paraId="2AF89883">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电子化交易项目投标文件是供应商、供应商（以下简称“供应商”）通过中心投标文件制作系统制作，并经过签章和加密后生成的电子版投标文件。（电子化投标文件具体制作教材请供应商通过CA证书登录公共资源电子化交易系统在右上角“组件下载”中查看）制作电子化投标文件，需仔细阅读以下条款。</w:t>
      </w:r>
    </w:p>
    <w:p w14:paraId="70542C4E">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一、电子化投标</w:t>
      </w:r>
    </w:p>
    <w:p w14:paraId="4884D14E">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（一）网上投标保证金的缴纳（本项目不适用）</w:t>
      </w:r>
    </w:p>
    <w:p w14:paraId="23AB781E">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1、递交形式: 供应商的投标保证金必须通过供应商基本账户以转账或电汇的形式缴纳（账户必须是已加入平顶山市公共资源交易供应商或供应商诚信库中的账户）。</w:t>
      </w:r>
    </w:p>
    <w:p w14:paraId="34CE6E6B">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供应商缴纳投标保证金后，应在规定的缴纳截止时间前通过平顶山市公共资源电子化交易系统将保证金成功绑定至所投标项目和标段。保证金绑定操作手册，请登录平顶山市公共资源交易中心网站在办事指南中网上投标栏目查看。</w:t>
      </w:r>
    </w:p>
    <w:p w14:paraId="5321D8DC">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3、供应商在成功绑定后，可以将系统生成的回执单图片制作在投标文件中，作为缴纳保证金的依据。</w:t>
      </w:r>
    </w:p>
    <w:p w14:paraId="024D0124">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4、供应商应仔细阅读操作手册并充分考虑异地跨行转账到账时间等因素，因供应商操作不当或银行到账时间等问题造成保证金无法正常绑定影响投标的，由供应商自行承担后果。</w:t>
      </w:r>
    </w:p>
    <w:p w14:paraId="4FCF0652">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5、未中标供应商的投标保证金在项目结束后，由中介服务机构向中心项目负责人提出退款申请，项目负责人同意并经财务部门核对后，通过中心交易平台退还给供应商。</w:t>
      </w:r>
    </w:p>
    <w:p w14:paraId="30CF5D15">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（二）电子化投标文件的签章</w:t>
      </w:r>
    </w:p>
    <w:p w14:paraId="5E92850C">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1、供应商在生成电子化投标文件后，应对电子化投标文件进行签章，未进行签章的视为无效投标。</w:t>
      </w:r>
    </w:p>
    <w:p w14:paraId="5E2699BD">
      <w:pPr>
        <w:spacing w:line="360" w:lineRule="auto"/>
        <w:ind w:firstLine="369" w:firstLineChars="175"/>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招标文件中要求法定代表人或授权委托人签字或盖章的，供应商在进行电子化投标文件签章时，以签盖法定代表人签章为准。电子化投标文件具体制作教材请供应商通过CA证书登录平顶山市公共资源电子化交易系统在右上角“组建下载”中查看。</w:t>
      </w:r>
    </w:p>
    <w:p w14:paraId="1A51A593">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（三）电子化投标文件的格式及上传投标</w:t>
      </w:r>
    </w:p>
    <w:p w14:paraId="5D2330D8">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1、供应商所上传的电子化投标文件，应是通过中心投标文件制作系统制作的，经过签章和加密后生成的电子版投标文件。生成的电子版投标文件包含用于投标文件上传的主文件（项目文件格式为：xxx公司_ 项目名称.file）和用于应急补救的投标文件备份文件（项目文件格式为：xxx公司_ 项目名称.bin），备份文件主要用于电子化开标出现技术问题后的补救，请供应商随身携带。</w:t>
      </w:r>
    </w:p>
    <w:p w14:paraId="61CB05C0">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注：（1）供应商投报多个标段的，根据标段制作各个标段的投标文件后上传</w:t>
      </w:r>
    </w:p>
    <w:p w14:paraId="7478CACB">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2、电子化投标文件应在投标截止时间前成功上传至平顶山市公共资源电子化交易系统。至投标截止时间止，仍未上传成功的电子化投标文件将不予接收。</w:t>
      </w:r>
    </w:p>
    <w:p w14:paraId="4DA7D4F4">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p w14:paraId="78C7A929">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（四）电子化项目开标、解密、唱标、评标</w:t>
      </w:r>
    </w:p>
    <w:p w14:paraId="11409F87">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1、电子化投标文件采用双重加密方式。开标时，首先由供应商使用CA证书，在规定时间内对其电子化投标文件进行首次解密，供应商解密完成后，再由中介服务机构使用CA证书对投标文件进行再次解密。</w:t>
      </w:r>
    </w:p>
    <w:p w14:paraId="17209D00">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2、电子化投标文件解密异常的处理</w:t>
      </w:r>
    </w:p>
    <w:p w14:paraId="003427D5">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如出现供应商的电子投标文件无法解密的情况，供应商应及时联系中介服务机构说明。投标文件解密异常，按以下步骤进行处理：</w:t>
      </w:r>
    </w:p>
    <w:p w14:paraId="53582CC3">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（1）首先由技术人员进行问题排查。</w:t>
      </w:r>
    </w:p>
    <w:p w14:paraId="64E4619F">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（2）经技术人员排查后，是供应商文件自身问题导致投标文件无法解密的，该投标文件将不予接收、解密和唱标，开标会议继续进行。</w:t>
      </w:r>
    </w:p>
    <w:p w14:paraId="469B4FC7">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320106C5">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3、待所有供应商投标文件解密完成后，由中介服务机构操作，对所有已解密投标文件进行唱标。</w:t>
      </w:r>
    </w:p>
    <w:p w14:paraId="0AB9DBD3">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评标时，评标委员会对电子化投标文件有质疑的，将通过电子化交易系统对供应商发起质疑。质疑回复内容确认后，供应商的回复文件必须以经过供应商和其法定代表人签章的PDF格式文件为准，并通过电子化交易系统提交至评标委员会。</w:t>
      </w:r>
    </w:p>
    <w:p w14:paraId="3F693C34">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5、如评标委员会对需要回复的供应商回复内容有异议的，经过几次回复仍不清楚的，需在监督下进行免提电话进行质疑。</w:t>
      </w:r>
    </w:p>
    <w:p w14:paraId="78491A68">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6、评标时如因系统异常、停电、电脑病毒、网络堵塞等原因无法正常进行的，由技术人员排查解决，短时间无法解决的，经监督部门同意后，暂停评标活动，待问题解决后继续评标。</w:t>
      </w:r>
    </w:p>
    <w:p w14:paraId="2988AF74">
      <w:pPr>
        <w:spacing w:line="360" w:lineRule="auto"/>
        <w:ind w:firstLine="367" w:firstLineChars="17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说明：上述内容如有与《全国公共资源交易平台(河南省·平顶山市)》公共资源交易系统不一致的以最新电子化交易程序为准。</w:t>
      </w:r>
    </w:p>
    <w:p w14:paraId="1B3AA4D2">
      <w:pPr>
        <w:rPr>
          <w:rFonts w:hint="eastAsia" w:ascii="宋体" w:hAnsi="宋体" w:eastAsia="宋体" w:cs="宋体"/>
          <w:color w:val="000000" w:themeColor="text1"/>
          <w:highlight w:val="none"/>
          <w14:textFill>
            <w14:solidFill>
              <w14:schemeClr w14:val="tx1"/>
            </w14:solidFill>
          </w14:textFill>
        </w:rPr>
      </w:pPr>
    </w:p>
    <w:p w14:paraId="5CB0105D">
      <w:pPr>
        <w:rPr>
          <w:rFonts w:hint="eastAsia" w:ascii="宋体" w:hAnsi="宋体" w:eastAsia="宋体" w:cs="宋体"/>
          <w:color w:val="000000" w:themeColor="text1"/>
          <w:highlight w:val="none"/>
          <w14:textFill>
            <w14:solidFill>
              <w14:schemeClr w14:val="tx1"/>
            </w14:solidFill>
          </w14:textFill>
        </w:rPr>
      </w:pPr>
    </w:p>
    <w:p w14:paraId="083C27A2">
      <w:pPr>
        <w:rPr>
          <w:rFonts w:hint="eastAsia" w:ascii="宋体" w:hAnsi="宋体" w:eastAsia="宋体" w:cs="宋体"/>
          <w:color w:val="000000" w:themeColor="text1"/>
          <w:highlight w:val="none"/>
          <w14:textFill>
            <w14:solidFill>
              <w14:schemeClr w14:val="tx1"/>
            </w14:solidFill>
          </w14:textFill>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844EF">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37B32A">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537B32A">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EE823">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724DC7">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A724DC7">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12E5F">
    <w:pPr>
      <w:pStyle w:val="12"/>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211BA1">
                          <w:pPr>
                            <w:pStyle w:val="12"/>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B211BA1">
                    <w:pPr>
                      <w:pStyle w:val="12"/>
                    </w:pPr>
                    <w:r>
                      <w:fldChar w:fldCharType="begin"/>
                    </w:r>
                    <w:r>
                      <w:instrText xml:space="preserve"> PAGE  \* MERGEFORMAT </w:instrText>
                    </w:r>
                    <w:r>
                      <w:fldChar w:fldCharType="separate"/>
                    </w:r>
                    <w:r>
                      <w:t>60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464AC">
    <w:pPr>
      <w:pStyle w:val="13"/>
      <w:pBdr>
        <w:top w:val="none" w:color="auto" w:sz="0" w:space="0"/>
        <w:left w:val="none" w:color="auto" w:sz="0" w:space="0"/>
        <w:bottom w:val="none" w:color="auto" w:sz="0" w:space="1"/>
        <w:right w:val="none" w:color="auto" w:sz="0" w:space="0"/>
      </w:pBdr>
      <w:ind w:right="-1"/>
      <w:jc w:val="left"/>
      <w:rPr>
        <w:rFonts w:hint="default" w:ascii="仿宋" w:hAnsi="仿宋" w:eastAsia="仿宋"/>
        <w:color w:val="000000"/>
        <w:kern w:val="0"/>
        <w:sz w:val="22"/>
        <w:szCs w:val="22"/>
        <w:u w:val="none" w:color="000000"/>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DBBE1">
    <w:pPr>
      <w:pStyle w:val="13"/>
      <w:pBdr>
        <w:bottom w:val="none" w:color="auto" w:sz="0" w:space="1"/>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221D6D"/>
    <w:multiLevelType w:val="multilevel"/>
    <w:tmpl w:val="7F221D6D"/>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D726E"/>
    <w:rsid w:val="01A63CD7"/>
    <w:rsid w:val="01AF0E8E"/>
    <w:rsid w:val="03EF5EB9"/>
    <w:rsid w:val="03F71E22"/>
    <w:rsid w:val="05CF6D44"/>
    <w:rsid w:val="061B453B"/>
    <w:rsid w:val="06D575E9"/>
    <w:rsid w:val="074A6168"/>
    <w:rsid w:val="0A913826"/>
    <w:rsid w:val="0AF7628D"/>
    <w:rsid w:val="0C1464BD"/>
    <w:rsid w:val="0C3B1C9C"/>
    <w:rsid w:val="0CED4A06"/>
    <w:rsid w:val="0D9E2637"/>
    <w:rsid w:val="0E626B72"/>
    <w:rsid w:val="0EA74A6C"/>
    <w:rsid w:val="0FE73EE9"/>
    <w:rsid w:val="102C6932"/>
    <w:rsid w:val="10490802"/>
    <w:rsid w:val="13E56991"/>
    <w:rsid w:val="13EB2A67"/>
    <w:rsid w:val="14ED3D4F"/>
    <w:rsid w:val="16824D25"/>
    <w:rsid w:val="17BA0860"/>
    <w:rsid w:val="17CA65CA"/>
    <w:rsid w:val="18AC5CCF"/>
    <w:rsid w:val="196F7429"/>
    <w:rsid w:val="1A9A489C"/>
    <w:rsid w:val="1AF96685"/>
    <w:rsid w:val="1C821221"/>
    <w:rsid w:val="1D8D60CF"/>
    <w:rsid w:val="1DF934FB"/>
    <w:rsid w:val="1F8359DC"/>
    <w:rsid w:val="2161222D"/>
    <w:rsid w:val="23580F2E"/>
    <w:rsid w:val="24FC010B"/>
    <w:rsid w:val="25E43CC2"/>
    <w:rsid w:val="25EF1522"/>
    <w:rsid w:val="275375C4"/>
    <w:rsid w:val="28435434"/>
    <w:rsid w:val="285A1E91"/>
    <w:rsid w:val="2A590850"/>
    <w:rsid w:val="2E927F2D"/>
    <w:rsid w:val="3038502D"/>
    <w:rsid w:val="30590237"/>
    <w:rsid w:val="32317519"/>
    <w:rsid w:val="32565CC1"/>
    <w:rsid w:val="325F7912"/>
    <w:rsid w:val="330216E8"/>
    <w:rsid w:val="33AF4B9A"/>
    <w:rsid w:val="34C669A1"/>
    <w:rsid w:val="3542559A"/>
    <w:rsid w:val="36B30238"/>
    <w:rsid w:val="37F60FE9"/>
    <w:rsid w:val="39830A39"/>
    <w:rsid w:val="398E2C45"/>
    <w:rsid w:val="399A5845"/>
    <w:rsid w:val="39DC7D6B"/>
    <w:rsid w:val="3B7A5A8D"/>
    <w:rsid w:val="3BB50897"/>
    <w:rsid w:val="3CBB5822"/>
    <w:rsid w:val="3E5B7C82"/>
    <w:rsid w:val="3F057D64"/>
    <w:rsid w:val="3F5D26FF"/>
    <w:rsid w:val="3F740A45"/>
    <w:rsid w:val="40B45E9F"/>
    <w:rsid w:val="42E2089B"/>
    <w:rsid w:val="45470288"/>
    <w:rsid w:val="45604523"/>
    <w:rsid w:val="45E06E35"/>
    <w:rsid w:val="47522FA1"/>
    <w:rsid w:val="475C073D"/>
    <w:rsid w:val="481F0953"/>
    <w:rsid w:val="4969695C"/>
    <w:rsid w:val="49900624"/>
    <w:rsid w:val="4FC60E49"/>
    <w:rsid w:val="51542485"/>
    <w:rsid w:val="51B255E7"/>
    <w:rsid w:val="5327526F"/>
    <w:rsid w:val="587359C9"/>
    <w:rsid w:val="5A9C7376"/>
    <w:rsid w:val="5B404B5C"/>
    <w:rsid w:val="5B505B2C"/>
    <w:rsid w:val="5C0A6562"/>
    <w:rsid w:val="5C1D4F20"/>
    <w:rsid w:val="5CF70E96"/>
    <w:rsid w:val="5E7C40BA"/>
    <w:rsid w:val="5EE25B77"/>
    <w:rsid w:val="5F092881"/>
    <w:rsid w:val="5F906D7E"/>
    <w:rsid w:val="60514C70"/>
    <w:rsid w:val="61BE18D7"/>
    <w:rsid w:val="627F1CB2"/>
    <w:rsid w:val="652A557F"/>
    <w:rsid w:val="664F1741"/>
    <w:rsid w:val="669E3A78"/>
    <w:rsid w:val="69BC0119"/>
    <w:rsid w:val="6A413A96"/>
    <w:rsid w:val="6B656B5C"/>
    <w:rsid w:val="6B76234D"/>
    <w:rsid w:val="6B9A16B0"/>
    <w:rsid w:val="6BAE1E2A"/>
    <w:rsid w:val="6EB8275C"/>
    <w:rsid w:val="71A2147B"/>
    <w:rsid w:val="730356DF"/>
    <w:rsid w:val="755328D0"/>
    <w:rsid w:val="757F6644"/>
    <w:rsid w:val="791B1956"/>
    <w:rsid w:val="79C36276"/>
    <w:rsid w:val="79CC49FF"/>
    <w:rsid w:val="7AD96BB7"/>
    <w:rsid w:val="7C771554"/>
    <w:rsid w:val="7C820150"/>
    <w:rsid w:val="7CB45542"/>
    <w:rsid w:val="7D6069DB"/>
    <w:rsid w:val="7F930498"/>
    <w:rsid w:val="7F9572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spacing w:beforeLines="0" w:beforeAutospacing="0" w:afterLines="0" w:afterAutospacing="0" w:line="240" w:lineRule="auto"/>
      <w:jc w:val="center"/>
      <w:outlineLvl w:val="0"/>
    </w:pPr>
    <w:rPr>
      <w:rFonts w:ascii="Times New Roman" w:hAnsi="Times New Roman" w:eastAsia="宋体"/>
      <w:b/>
      <w:kern w:val="44"/>
      <w:sz w:val="32"/>
    </w:rPr>
  </w:style>
  <w:style w:type="paragraph" w:styleId="4">
    <w:name w:val="heading 2"/>
    <w:basedOn w:val="1"/>
    <w:next w:val="1"/>
    <w:link w:val="24"/>
    <w:semiHidden/>
    <w:unhideWhenUsed/>
    <w:qFormat/>
    <w:uiPriority w:val="0"/>
    <w:pPr>
      <w:keepNext/>
      <w:keepLines/>
      <w:spacing w:line="360" w:lineRule="auto"/>
      <w:jc w:val="center"/>
      <w:outlineLvl w:val="1"/>
    </w:pPr>
    <w:rPr>
      <w:rFonts w:ascii="Arial" w:hAnsi="Arial" w:eastAsia="宋体" w:cs="Times New Roman"/>
      <w:b/>
      <w:bCs/>
      <w:sz w:val="28"/>
      <w:szCs w:val="30"/>
    </w:rPr>
  </w:style>
  <w:style w:type="paragraph" w:styleId="5">
    <w:name w:val="heading 3"/>
    <w:basedOn w:val="1"/>
    <w:next w:val="1"/>
    <w:link w:val="25"/>
    <w:semiHidden/>
    <w:unhideWhenUsed/>
    <w:qFormat/>
    <w:uiPriority w:val="0"/>
    <w:pPr>
      <w:keepNext/>
      <w:keepLines/>
      <w:spacing w:before="260" w:beforeLines="0" w:beforeAutospacing="0" w:after="260" w:afterLines="0" w:afterAutospacing="0" w:line="413" w:lineRule="auto"/>
      <w:outlineLvl w:val="2"/>
    </w:pPr>
    <w:rPr>
      <w:rFonts w:ascii="宋体" w:hAnsi="宋体" w:eastAsia="宋体" w:cs="Times New Roman"/>
      <w:b/>
      <w:sz w:val="24"/>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6">
    <w:name w:val="Body Text"/>
    <w:basedOn w:val="1"/>
    <w:next w:val="1"/>
    <w:qFormat/>
    <w:uiPriority w:val="99"/>
    <w:pPr>
      <w:spacing w:after="120"/>
    </w:pPr>
    <w:rPr>
      <w:kern w:val="0"/>
      <w:sz w:val="20"/>
      <w:szCs w:val="20"/>
    </w:rPr>
  </w:style>
  <w:style w:type="paragraph" w:styleId="7">
    <w:name w:val="Body Text Indent"/>
    <w:basedOn w:val="1"/>
    <w:next w:val="8"/>
    <w:qFormat/>
    <w:uiPriority w:val="0"/>
    <w:pPr>
      <w:spacing w:after="120" w:afterLines="0" w:afterAutospacing="0"/>
      <w:ind w:left="420" w:leftChars="200"/>
    </w:pPr>
  </w:style>
  <w:style w:type="paragraph" w:styleId="8">
    <w:name w:val="envelope return"/>
    <w:basedOn w:val="1"/>
    <w:qFormat/>
    <w:uiPriority w:val="0"/>
    <w:pPr>
      <w:snapToGrid w:val="0"/>
    </w:pPr>
    <w:rPr>
      <w:rFonts w:ascii="Arial" w:hAnsi="Arial"/>
    </w:rPr>
  </w:style>
  <w:style w:type="paragraph" w:styleId="9">
    <w:name w:val="toc 5"/>
    <w:basedOn w:val="1"/>
    <w:next w:val="1"/>
    <w:qFormat/>
    <w:uiPriority w:val="0"/>
    <w:pPr>
      <w:ind w:left="1680" w:leftChars="800"/>
    </w:pPr>
    <w:rPr>
      <w:rFonts w:ascii="Calibri" w:hAnsi="Calibri"/>
      <w:szCs w:val="22"/>
    </w:rPr>
  </w:style>
  <w:style w:type="paragraph" w:styleId="10">
    <w:name w:val="Plain Text"/>
    <w:basedOn w:val="1"/>
    <w:qFormat/>
    <w:uiPriority w:val="0"/>
    <w:rPr>
      <w:rFonts w:ascii="宋体" w:hAnsi="Courier New" w:cs="Courier New"/>
      <w:szCs w:val="21"/>
    </w:rPr>
  </w:style>
  <w:style w:type="paragraph" w:styleId="11">
    <w:name w:val="Body Text Indent 2"/>
    <w:basedOn w:val="1"/>
    <w:unhideWhenUsed/>
    <w:qFormat/>
    <w:uiPriority w:val="99"/>
    <w:pPr>
      <w:ind w:firstLine="570"/>
    </w:pPr>
    <w:rPr>
      <w:sz w:val="32"/>
    </w:rPr>
  </w:style>
  <w:style w:type="paragraph" w:styleId="12">
    <w:name w:val="footer"/>
    <w:basedOn w:val="1"/>
    <w:unhideWhenUsed/>
    <w:qFormat/>
    <w:uiPriority w:val="99"/>
    <w:pPr>
      <w:tabs>
        <w:tab w:val="center" w:pos="4153"/>
        <w:tab w:val="right" w:pos="8306"/>
      </w:tabs>
      <w:snapToGrid w:val="0"/>
      <w:jc w:val="left"/>
    </w:pPr>
    <w:rPr>
      <w:rFonts w:ascii="Times New Roman" w:hAnsi="Times New Roman" w:eastAsia="宋体" w:cs="Times New Roman"/>
      <w:kern w:val="0"/>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6">
    <w:name w:val="Title"/>
    <w:basedOn w:val="1"/>
    <w:qFormat/>
    <w:uiPriority w:val="0"/>
    <w:pPr>
      <w:spacing w:before="240" w:beforeLines="0" w:after="60" w:afterLines="0"/>
      <w:jc w:val="center"/>
      <w:outlineLvl w:val="0"/>
    </w:pPr>
    <w:rPr>
      <w:rFonts w:ascii="Arial" w:hAnsi="Arial" w:cs="Arial"/>
      <w:b/>
      <w:bCs/>
      <w:sz w:val="32"/>
      <w:szCs w:val="32"/>
    </w:rPr>
  </w:style>
  <w:style w:type="paragraph" w:styleId="17">
    <w:name w:val="Body Text First Indent 2"/>
    <w:basedOn w:val="7"/>
    <w:next w:val="1"/>
    <w:qFormat/>
    <w:uiPriority w:val="0"/>
    <w:pPr>
      <w:ind w:firstLine="420" w:firstLineChars="200"/>
    </w:pPr>
  </w:style>
  <w:style w:type="character" w:styleId="20">
    <w:name w:val="Strong"/>
    <w:basedOn w:val="19"/>
    <w:qFormat/>
    <w:uiPriority w:val="0"/>
    <w:rPr>
      <w:b/>
      <w:bCs/>
    </w:rPr>
  </w:style>
  <w:style w:type="character" w:styleId="21">
    <w:name w:val="FollowedHyperlink"/>
    <w:basedOn w:val="19"/>
    <w:qFormat/>
    <w:uiPriority w:val="0"/>
    <w:rPr>
      <w:color w:val="444444"/>
      <w:sz w:val="21"/>
      <w:szCs w:val="21"/>
      <w:u w:val="none"/>
    </w:rPr>
  </w:style>
  <w:style w:type="character" w:styleId="22">
    <w:name w:val="Emphasis"/>
    <w:basedOn w:val="19"/>
    <w:qFormat/>
    <w:uiPriority w:val="0"/>
    <w:rPr>
      <w:i/>
    </w:rPr>
  </w:style>
  <w:style w:type="character" w:styleId="23">
    <w:name w:val="Hyperlink"/>
    <w:basedOn w:val="19"/>
    <w:qFormat/>
    <w:uiPriority w:val="0"/>
    <w:rPr>
      <w:color w:val="444444"/>
      <w:sz w:val="21"/>
      <w:szCs w:val="21"/>
      <w:u w:val="none"/>
    </w:rPr>
  </w:style>
  <w:style w:type="character" w:customStyle="1" w:styleId="24">
    <w:name w:val="标题 2 Char"/>
    <w:link w:val="4"/>
    <w:qFormat/>
    <w:uiPriority w:val="0"/>
    <w:rPr>
      <w:rFonts w:ascii="Arial" w:hAnsi="Arial" w:eastAsia="宋体" w:cs="Times New Roman"/>
      <w:b/>
      <w:bCs/>
      <w:sz w:val="28"/>
      <w:szCs w:val="30"/>
    </w:rPr>
  </w:style>
  <w:style w:type="character" w:customStyle="1" w:styleId="25">
    <w:name w:val="标题 3 Char"/>
    <w:link w:val="5"/>
    <w:qFormat/>
    <w:uiPriority w:val="0"/>
    <w:rPr>
      <w:rFonts w:ascii="宋体" w:hAnsi="宋体" w:eastAsia="宋体" w:cs="Times New Roman"/>
      <w:b/>
      <w:sz w:val="24"/>
    </w:rPr>
  </w:style>
  <w:style w:type="paragraph" w:customStyle="1" w:styleId="2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7">
    <w:name w:val="font11"/>
    <w:basedOn w:val="19"/>
    <w:qFormat/>
    <w:uiPriority w:val="0"/>
    <w:rPr>
      <w:rFonts w:hint="eastAsia" w:ascii="宋体" w:hAnsi="宋体" w:eastAsia="宋体" w:cs="宋体"/>
      <w:color w:val="000000"/>
      <w:sz w:val="22"/>
      <w:szCs w:val="22"/>
      <w:u w:val="none"/>
    </w:rPr>
  </w:style>
  <w:style w:type="paragraph" w:customStyle="1" w:styleId="28">
    <w:name w:val="No Spacing1"/>
    <w:basedOn w:val="1"/>
    <w:qFormat/>
    <w:uiPriority w:val="0"/>
    <w:pPr>
      <w:spacing w:line="400" w:lineRule="exact"/>
    </w:pPr>
  </w:style>
  <w:style w:type="character" w:customStyle="1" w:styleId="29">
    <w:name w:val="hover18"/>
    <w:basedOn w:val="19"/>
    <w:qFormat/>
    <w:uiPriority w:val="0"/>
  </w:style>
  <w:style w:type="character" w:customStyle="1" w:styleId="30">
    <w:name w:val="hover17"/>
    <w:basedOn w:val="19"/>
    <w:qFormat/>
    <w:uiPriority w:val="0"/>
  </w:style>
  <w:style w:type="character" w:customStyle="1" w:styleId="31">
    <w:name w:val="font121"/>
    <w:basedOn w:val="19"/>
    <w:qFormat/>
    <w:uiPriority w:val="0"/>
    <w:rPr>
      <w:rFonts w:ascii="宋体" w:hAnsi="宋体" w:eastAsia="宋体" w:cs="宋体"/>
      <w:color w:val="000000"/>
      <w:sz w:val="18"/>
      <w:szCs w:val="18"/>
      <w:u w:val="none"/>
    </w:rPr>
  </w:style>
  <w:style w:type="character" w:customStyle="1" w:styleId="32">
    <w:name w:val="font131"/>
    <w:basedOn w:val="19"/>
    <w:qFormat/>
    <w:uiPriority w:val="0"/>
    <w:rPr>
      <w:rFonts w:ascii="宋体" w:hAnsi="宋体" w:eastAsia="宋体" w:cs="宋体"/>
      <w:color w:val="003366"/>
      <w:sz w:val="18"/>
      <w:szCs w:val="18"/>
      <w:u w:val="none"/>
    </w:rPr>
  </w:style>
  <w:style w:type="character" w:customStyle="1" w:styleId="33">
    <w:name w:val="font141"/>
    <w:basedOn w:val="19"/>
    <w:qFormat/>
    <w:uiPriority w:val="0"/>
    <w:rPr>
      <w:rFonts w:ascii="宋体" w:hAnsi="宋体" w:eastAsia="宋体" w:cs="宋体"/>
      <w:color w:val="333333"/>
      <w:sz w:val="18"/>
      <w:szCs w:val="18"/>
      <w:u w:val="none"/>
    </w:rPr>
  </w:style>
  <w:style w:type="character" w:customStyle="1" w:styleId="34">
    <w:name w:val="font101"/>
    <w:basedOn w:val="19"/>
    <w:qFormat/>
    <w:uiPriority w:val="0"/>
    <w:rPr>
      <w:rFonts w:ascii="宋体" w:hAnsi="宋体" w:eastAsia="宋体" w:cs="宋体"/>
      <w:color w:val="000000"/>
      <w:sz w:val="18"/>
      <w:szCs w:val="18"/>
      <w:u w:val="none"/>
    </w:rPr>
  </w:style>
  <w:style w:type="character" w:customStyle="1" w:styleId="35">
    <w:name w:val="font112"/>
    <w:basedOn w:val="19"/>
    <w:qFormat/>
    <w:uiPriority w:val="0"/>
    <w:rPr>
      <w:rFonts w:ascii="宋体" w:hAnsi="宋体" w:eastAsia="宋体" w:cs="宋体"/>
      <w:color w:val="003366"/>
      <w:sz w:val="18"/>
      <w:szCs w:val="18"/>
      <w:u w:val="none"/>
    </w:rPr>
  </w:style>
  <w:style w:type="character" w:customStyle="1" w:styleId="36">
    <w:name w:val="font31"/>
    <w:basedOn w:val="19"/>
    <w:qFormat/>
    <w:uiPriority w:val="0"/>
    <w:rPr>
      <w:rFonts w:hint="eastAsia" w:ascii="宋体" w:hAnsi="宋体" w:eastAsia="宋体" w:cs="宋体"/>
      <w:color w:val="000000"/>
      <w:sz w:val="18"/>
      <w:szCs w:val="18"/>
      <w:u w:val="none"/>
    </w:rPr>
  </w:style>
  <w:style w:type="character" w:customStyle="1" w:styleId="37">
    <w:name w:val="font41"/>
    <w:basedOn w:val="19"/>
    <w:qFormat/>
    <w:uiPriority w:val="0"/>
    <w:rPr>
      <w:rFonts w:ascii="Calibri" w:hAnsi="Calibri" w:cs="Calibri"/>
      <w:color w:val="000000"/>
      <w:sz w:val="18"/>
      <w:szCs w:val="18"/>
      <w:u w:val="none"/>
    </w:rPr>
  </w:style>
  <w:style w:type="character" w:customStyle="1" w:styleId="38">
    <w:name w:val="font51"/>
    <w:basedOn w:val="19"/>
    <w:qFormat/>
    <w:uiPriority w:val="0"/>
    <w:rPr>
      <w:rFonts w:hint="eastAsia" w:ascii="宋体" w:hAnsi="宋体" w:eastAsia="宋体" w:cs="宋体"/>
      <w:color w:val="C00000"/>
      <w:sz w:val="18"/>
      <w:szCs w:val="18"/>
      <w:u w:val="none"/>
    </w:rPr>
  </w:style>
  <w:style w:type="character" w:customStyle="1" w:styleId="39">
    <w:name w:val="font71"/>
    <w:basedOn w:val="19"/>
    <w:qFormat/>
    <w:uiPriority w:val="0"/>
    <w:rPr>
      <w:rFonts w:hint="default" w:ascii="Times New Roman" w:hAnsi="Times New Roman" w:cs="Times New Roman"/>
      <w:color w:val="C00000"/>
      <w:sz w:val="18"/>
      <w:szCs w:val="18"/>
      <w:u w:val="none"/>
    </w:rPr>
  </w:style>
  <w:style w:type="character" w:customStyle="1" w:styleId="40">
    <w:name w:val="font61"/>
    <w:basedOn w:val="19"/>
    <w:qFormat/>
    <w:uiPriority w:val="0"/>
    <w:rPr>
      <w:rFonts w:hint="eastAsia" w:ascii="黑体" w:hAnsi="宋体" w:eastAsia="黑体" w:cs="黑体"/>
      <w:b/>
      <w:bCs/>
      <w:color w:val="C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17298</Words>
  <Characters>18316</Characters>
  <Lines>0</Lines>
  <Paragraphs>0</Paragraphs>
  <TotalTime>78</TotalTime>
  <ScaleCrop>false</ScaleCrop>
  <LinksUpToDate>false</LinksUpToDate>
  <CharactersWithSpaces>18499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2025-04-01T02:12:00Z</dcterms:created>
  <dc:creator>888</dc:creator>
  <cp:lastModifiedBy>@李子木～</cp:lastModifiedBy>
  <dcterms:modified xsi:type="dcterms:W3CDTF">2026-07-09T12:20:28Z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428DB64B6DA84BCD9F07C53F2FA47914_13</vt:lpwstr>
  </property>
  <property fmtid="{D5CDD505-2E9C-101B-9397-08002B2CF9AE}" pid="4" name="KSOTemplateDocerSaveRecord">
    <vt:lpwstr>eyJoZGlkIjoiMmQwODk0OTNkMTZmNGE5YTE3MDQ3NTEyMjU4NTdlNmIiLCJ1c2VySWQiOiI5ODg5MzE4MzUifQ==</vt:lpwstr>
  </property>
</Properties>
</file>